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3"/>
          <w:szCs w:val="13"/>
        </w:rPr>
      </w:pPr>
      <w:r w:rsidDel="00000000" w:rsidR="00000000" w:rsidRPr="00000000">
        <w:rPr>
          <w:rtl w:val="0"/>
        </w:rPr>
      </w:r>
    </w:p>
    <w:tbl>
      <w:tblPr>
        <w:tblStyle w:val="Table1"/>
        <w:tblW w:w="10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9"/>
        <w:gridCol w:w="225"/>
        <w:gridCol w:w="75"/>
        <w:gridCol w:w="75"/>
        <w:gridCol w:w="277"/>
        <w:gridCol w:w="331"/>
        <w:gridCol w:w="566"/>
        <w:gridCol w:w="460"/>
        <w:gridCol w:w="661"/>
        <w:gridCol w:w="610"/>
        <w:gridCol w:w="358"/>
        <w:gridCol w:w="1243"/>
        <w:gridCol w:w="210"/>
        <w:gridCol w:w="15"/>
        <w:gridCol w:w="323"/>
        <w:gridCol w:w="420"/>
        <w:gridCol w:w="142"/>
        <w:gridCol w:w="244"/>
        <w:gridCol w:w="702"/>
        <w:gridCol w:w="26"/>
        <w:gridCol w:w="1028"/>
        <w:gridCol w:w="326"/>
        <w:gridCol w:w="1127"/>
        <w:tblGridChange w:id="0">
          <w:tblGrid>
            <w:gridCol w:w="1509"/>
            <w:gridCol w:w="225"/>
            <w:gridCol w:w="75"/>
            <w:gridCol w:w="75"/>
            <w:gridCol w:w="277"/>
            <w:gridCol w:w="331"/>
            <w:gridCol w:w="566"/>
            <w:gridCol w:w="460"/>
            <w:gridCol w:w="661"/>
            <w:gridCol w:w="610"/>
            <w:gridCol w:w="358"/>
            <w:gridCol w:w="1243"/>
            <w:gridCol w:w="210"/>
            <w:gridCol w:w="15"/>
            <w:gridCol w:w="323"/>
            <w:gridCol w:w="420"/>
            <w:gridCol w:w="142"/>
            <w:gridCol w:w="244"/>
            <w:gridCol w:w="702"/>
            <w:gridCol w:w="26"/>
            <w:gridCol w:w="1028"/>
            <w:gridCol w:w="326"/>
            <w:gridCol w:w="1127"/>
          </w:tblGrid>
        </w:tblGridChange>
      </w:tblGrid>
      <w:tr>
        <w:trPr>
          <w:cantSplit w:val="0"/>
          <w:trHeight w:val="70" w:hRule="atLeast"/>
          <w:tblHeader w:val="1"/>
        </w:trPr>
        <w:tc>
          <w:tcPr>
            <w:gridSpan w:val="2"/>
            <w:vAlign w:val="center"/>
          </w:tcPr>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0" w:lineRule="auto"/>
              <w:rPr>
                <w:rFonts w:ascii="Times New Roman" w:cs="Times New Roman" w:eastAsia="Times New Roman" w:hAnsi="Times New Roman"/>
                <w:color w:val="000000"/>
                <w:sz w:val="13"/>
                <w:szCs w:val="13"/>
              </w:rPr>
            </w:pPr>
            <w:r w:rsidDel="00000000" w:rsidR="00000000" w:rsidRPr="00000000">
              <w:rPr>
                <w:rFonts w:ascii="Times New Roman" w:cs="Times New Roman" w:eastAsia="Times New Roman" w:hAnsi="Times New Roman"/>
                <w:color w:val="000000"/>
                <w:sz w:val="13"/>
                <w:szCs w:val="13"/>
                <w:rtl w:val="0"/>
              </w:rPr>
              <w:t xml:space="preserve">Versión 2</w:t>
            </w:r>
          </w:p>
        </w:tc>
        <w:tc>
          <w:tcPr>
            <w:gridSpan w:val="4"/>
            <w:vAlign w:val="center"/>
          </w:tcPr>
          <w:p w:rsidR="00000000" w:rsidDel="00000000" w:rsidP="00000000" w:rsidRDefault="00000000" w:rsidRPr="00000000" w14:paraId="00000004">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P 2.2.1</w:t>
            </w:r>
          </w:p>
        </w:tc>
      </w:tr>
      <w:tr>
        <w:trPr>
          <w:cantSplit w:val="0"/>
          <w:trHeight w:val="562" w:hRule="atLeast"/>
          <w:tblHeader w:val="0"/>
        </w:trPr>
        <w:tc>
          <w:tcPr>
            <w:gridSpan w:val="16"/>
            <w:vAlign w:val="center"/>
          </w:tcPr>
          <w:p w:rsidR="00000000" w:rsidDel="00000000" w:rsidP="00000000" w:rsidRDefault="00000000" w:rsidRPr="00000000" w14:paraId="00000008">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ALCALDÍA MAYOR DE CARTAGENA DE INDIAS</w:t>
            </w:r>
          </w:p>
          <w:p w:rsidR="00000000" w:rsidDel="00000000" w:rsidP="00000000" w:rsidRDefault="00000000" w:rsidRPr="00000000" w14:paraId="00000009">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CONSEJO DE POLÍTICA ECONÓMICA Y SOCIAL DEL DISTRITO DE CARTAGENA DE INDIAS. CONPES D. T. y C.</w:t>
            </w:r>
          </w:p>
          <w:p w:rsidR="00000000" w:rsidDel="00000000" w:rsidP="00000000" w:rsidRDefault="00000000" w:rsidRPr="00000000" w14:paraId="0000000A">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Secretaría Distrital de Planeación </w:t>
            </w:r>
          </w:p>
        </w:tc>
        <w:tc>
          <w:tcPr>
            <w:gridSpan w:val="7"/>
            <w:vAlign w:val="center"/>
          </w:tcPr>
          <w:p w:rsidR="00000000" w:rsidDel="00000000" w:rsidP="00000000" w:rsidRDefault="00000000" w:rsidRPr="00000000" w14:paraId="0000001A">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Pr>
              <w:drawing>
                <wp:inline distB="0" distT="0" distL="0" distR="0">
                  <wp:extent cx="1298187" cy="368734"/>
                  <wp:effectExtent b="0" l="0" r="0" t="0"/>
                  <wp:docPr descr="Interfaz de usuario gráfica, Aplicación&#10;&#10;Descripción generada automáticamente" id="2" name="image1.png"/>
                  <a:graphic>
                    <a:graphicData uri="http://schemas.openxmlformats.org/drawingml/2006/picture">
                      <pic:pic>
                        <pic:nvPicPr>
                          <pic:cNvPr descr="Interfaz de usuario gráfica, Aplicación&#10;&#10;Descripción generada automáticamente" id="0" name="image1.png"/>
                          <pic:cNvPicPr preferRelativeResize="0"/>
                        </pic:nvPicPr>
                        <pic:blipFill>
                          <a:blip r:embed="rId7"/>
                          <a:srcRect b="34287" l="15642" r="14937" t="33518"/>
                          <a:stretch>
                            <a:fillRect/>
                          </a:stretch>
                        </pic:blipFill>
                        <pic:spPr>
                          <a:xfrm>
                            <a:off x="0" y="0"/>
                            <a:ext cx="1298187" cy="368734"/>
                          </a:xfrm>
                          <a:prstGeom prst="rect"/>
                          <a:ln/>
                        </pic:spPr>
                      </pic:pic>
                    </a:graphicData>
                  </a:graphic>
                </wp:inline>
              </w:drawing>
            </w:r>
            <w:r w:rsidDel="00000000" w:rsidR="00000000" w:rsidRPr="00000000">
              <w:rPr>
                <w:rtl w:val="0"/>
              </w:rPr>
            </w:r>
          </w:p>
        </w:tc>
      </w:tr>
      <w:tr>
        <w:trPr>
          <w:cantSplit w:val="0"/>
          <w:tblHeader w:val="0"/>
        </w:trPr>
        <w:tc>
          <w:tcPr>
            <w:gridSpan w:val="8"/>
            <w:vAlign w:val="center"/>
          </w:tcPr>
          <w:p w:rsidR="00000000" w:rsidDel="00000000" w:rsidP="00000000" w:rsidRDefault="00000000" w:rsidRPr="00000000" w14:paraId="00000021">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Entidad coordinadora de Política Pública </w:t>
            </w:r>
          </w:p>
        </w:tc>
        <w:tc>
          <w:tcPr>
            <w:gridSpan w:val="15"/>
            <w:vAlign w:val="center"/>
          </w:tcPr>
          <w:p w:rsidR="00000000" w:rsidDel="00000000" w:rsidP="00000000" w:rsidRDefault="00000000" w:rsidRPr="00000000" w14:paraId="00000029">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Instituto de Patrimonio y Cultura de Cartagena - IPCC</w:t>
            </w:r>
          </w:p>
        </w:tc>
      </w:tr>
      <w:tr>
        <w:trPr>
          <w:cantSplit w:val="0"/>
          <w:tblHeader w:val="0"/>
        </w:trPr>
        <w:tc>
          <w:tcPr>
            <w:vAlign w:val="center"/>
          </w:tcPr>
          <w:p w:rsidR="00000000" w:rsidDel="00000000" w:rsidP="00000000" w:rsidRDefault="00000000" w:rsidRPr="00000000" w14:paraId="00000038">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Política Pública</w:t>
            </w:r>
          </w:p>
        </w:tc>
        <w:tc>
          <w:tcPr>
            <w:gridSpan w:val="10"/>
            <w:vAlign w:val="center"/>
          </w:tcPr>
          <w:p w:rsidR="00000000" w:rsidDel="00000000" w:rsidP="00000000" w:rsidRDefault="00000000" w:rsidRPr="00000000" w14:paraId="00000039">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Plan Distrital de Bibliotecas, Lectura, Escritura y Oralidad</w:t>
            </w:r>
          </w:p>
        </w:tc>
        <w:tc>
          <w:tcPr>
            <w:gridSpan w:val="4"/>
            <w:vAlign w:val="center"/>
          </w:tcPr>
          <w:p w:rsidR="00000000" w:rsidDel="00000000" w:rsidP="00000000" w:rsidRDefault="00000000" w:rsidRPr="00000000" w14:paraId="00000043">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Número de Documento CONPES</w:t>
            </w:r>
          </w:p>
        </w:tc>
        <w:tc>
          <w:tcPr>
            <w:gridSpan w:val="8"/>
            <w:vAlign w:val="center"/>
          </w:tcPr>
          <w:p w:rsidR="00000000" w:rsidDel="00000000" w:rsidP="00000000" w:rsidRDefault="00000000" w:rsidRPr="00000000" w14:paraId="00000047">
            <w:pPr>
              <w:rPr>
                <w:rFonts w:ascii="Times New Roman" w:cs="Times New Roman" w:eastAsia="Times New Roman" w:hAnsi="Times New Roman"/>
                <w:sz w:val="13"/>
                <w:szCs w:val="13"/>
              </w:rPr>
            </w:pPr>
            <w:r w:rsidDel="00000000" w:rsidR="00000000" w:rsidRPr="00000000">
              <w:rPr>
                <w:rtl w:val="0"/>
              </w:rPr>
            </w:r>
          </w:p>
        </w:tc>
      </w:tr>
      <w:tr>
        <w:trPr>
          <w:cantSplit w:val="0"/>
          <w:tblHeader w:val="0"/>
        </w:trPr>
        <w:tc>
          <w:tcPr>
            <w:gridSpan w:val="23"/>
            <w:vAlign w:val="center"/>
          </w:tcPr>
          <w:p w:rsidR="00000000" w:rsidDel="00000000" w:rsidP="00000000" w:rsidRDefault="00000000" w:rsidRPr="00000000" w14:paraId="0000004F">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HOJA DE VIDA: PRODUCTO DE POLÍTICA PÚBLICA</w:t>
            </w:r>
          </w:p>
        </w:tc>
      </w:tr>
      <w:tr>
        <w:trPr>
          <w:cantSplit w:val="0"/>
          <w:tblHeader w:val="0"/>
        </w:trPr>
        <w:tc>
          <w:tcPr>
            <w:gridSpan w:val="23"/>
            <w:vAlign w:val="center"/>
          </w:tcPr>
          <w:p w:rsidR="00000000" w:rsidDel="00000000" w:rsidP="00000000" w:rsidRDefault="00000000" w:rsidRPr="00000000" w14:paraId="00000066">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DATOS GENERALES </w:t>
            </w:r>
          </w:p>
        </w:tc>
      </w:tr>
      <w:tr>
        <w:trPr>
          <w:cantSplit w:val="0"/>
          <w:trHeight w:val="182" w:hRule="atLeast"/>
          <w:tblHeader w:val="0"/>
        </w:trPr>
        <w:tc>
          <w:tcPr>
            <w:gridSpan w:val="3"/>
            <w:vAlign w:val="center"/>
          </w:tcPr>
          <w:p w:rsidR="00000000" w:rsidDel="00000000" w:rsidP="00000000" w:rsidRDefault="00000000" w:rsidRPr="00000000" w14:paraId="0000007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Entidad encargada de implementación</w:t>
            </w:r>
          </w:p>
        </w:tc>
        <w:tc>
          <w:tcPr>
            <w:gridSpan w:val="16"/>
            <w:vAlign w:val="center"/>
          </w:tcPr>
          <w:p w:rsidR="00000000" w:rsidDel="00000000" w:rsidP="00000000" w:rsidRDefault="00000000" w:rsidRPr="00000000" w14:paraId="00000080">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Entidad responsable: IPCC</w:t>
            </w:r>
          </w:p>
        </w:tc>
        <w:tc>
          <w:tcPr>
            <w:gridSpan w:val="3"/>
            <w:vAlign w:val="center"/>
          </w:tcPr>
          <w:p w:rsidR="00000000" w:rsidDel="00000000" w:rsidP="00000000" w:rsidRDefault="00000000" w:rsidRPr="00000000" w14:paraId="0000009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Código de entidad</w:t>
            </w:r>
          </w:p>
        </w:tc>
        <w:tc>
          <w:tcPr>
            <w:vAlign w:val="center"/>
          </w:tcPr>
          <w:p w:rsidR="00000000" w:rsidDel="00000000" w:rsidP="00000000" w:rsidRDefault="00000000" w:rsidRPr="00000000" w14:paraId="00000093">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01</w:t>
            </w:r>
          </w:p>
        </w:tc>
      </w:tr>
      <w:tr>
        <w:trPr>
          <w:cantSplit w:val="0"/>
          <w:trHeight w:val="182" w:hRule="atLeast"/>
          <w:tblHeader w:val="0"/>
        </w:trPr>
        <w:tc>
          <w:tcPr>
            <w:gridSpan w:val="3"/>
            <w:vAlign w:val="center"/>
          </w:tcPr>
          <w:p w:rsidR="00000000" w:rsidDel="00000000" w:rsidP="00000000" w:rsidRDefault="00000000" w:rsidRPr="00000000" w14:paraId="0000009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Objetivo específico asociado</w:t>
            </w:r>
          </w:p>
        </w:tc>
        <w:tc>
          <w:tcPr>
            <w:gridSpan w:val="16"/>
            <w:vAlign w:val="center"/>
          </w:tcPr>
          <w:p w:rsidR="00000000" w:rsidDel="00000000" w:rsidP="00000000" w:rsidRDefault="00000000" w:rsidRPr="00000000" w14:paraId="00000097">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Implementar procesos de formación continua del capital humano de la Red Distrital de Bibliotecas Públicas, mediante alianzas, estrategias y programas orientados al fortalecimiento de sus competencias profesionales y técnicas, que se reflejan en la vocación y optimización del servicio.</w:t>
            </w:r>
          </w:p>
        </w:tc>
        <w:tc>
          <w:tcPr>
            <w:gridSpan w:val="3"/>
            <w:vAlign w:val="center"/>
          </w:tcPr>
          <w:p w:rsidR="00000000" w:rsidDel="00000000" w:rsidP="00000000" w:rsidRDefault="00000000" w:rsidRPr="00000000" w14:paraId="000000A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Número de objetivo</w:t>
            </w:r>
          </w:p>
        </w:tc>
        <w:tc>
          <w:tcPr>
            <w:vAlign w:val="center"/>
          </w:tcPr>
          <w:p w:rsidR="00000000" w:rsidDel="00000000" w:rsidP="00000000" w:rsidRDefault="00000000" w:rsidRPr="00000000" w14:paraId="000000A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OE. 2</w:t>
            </w:r>
          </w:p>
        </w:tc>
      </w:tr>
      <w:tr>
        <w:trPr>
          <w:cantSplit w:val="0"/>
          <w:trHeight w:val="182" w:hRule="atLeast"/>
          <w:tblHeader w:val="0"/>
        </w:trPr>
        <w:tc>
          <w:tcPr>
            <w:gridSpan w:val="3"/>
            <w:vAlign w:val="center"/>
          </w:tcPr>
          <w:p w:rsidR="00000000" w:rsidDel="00000000" w:rsidP="00000000" w:rsidRDefault="00000000" w:rsidRPr="00000000" w14:paraId="000000A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Meta(s) de resultado a la (s) que el producto aporta mediante su implementación.</w:t>
            </w:r>
          </w:p>
        </w:tc>
        <w:tc>
          <w:tcPr>
            <w:gridSpan w:val="20"/>
            <w:vAlign w:val="center"/>
          </w:tcPr>
          <w:p w:rsidR="00000000" w:rsidDel="00000000" w:rsidP="00000000" w:rsidRDefault="00000000" w:rsidRPr="00000000" w14:paraId="000000AE">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2.2. Aumento de las competencias profesionales y técnicas del personal de la Red Distrital de Bibliotecas Públicas, que redunde en una prestación óptima de los servicios bibliotecarios, de lectura, escritura y oralidad.</w:t>
            </w:r>
          </w:p>
        </w:tc>
      </w:tr>
      <w:tr>
        <w:trPr>
          <w:cantSplit w:val="0"/>
          <w:tblHeader w:val="0"/>
        </w:trPr>
        <w:tc>
          <w:tcPr>
            <w:gridSpan w:val="3"/>
            <w:vAlign w:val="center"/>
          </w:tcPr>
          <w:p w:rsidR="00000000" w:rsidDel="00000000" w:rsidP="00000000" w:rsidRDefault="00000000" w:rsidRPr="00000000" w14:paraId="000000C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Componente - Eje</w:t>
            </w:r>
          </w:p>
        </w:tc>
        <w:tc>
          <w:tcPr>
            <w:gridSpan w:val="6"/>
            <w:vAlign w:val="center"/>
          </w:tcPr>
          <w:p w:rsidR="00000000" w:rsidDel="00000000" w:rsidP="00000000" w:rsidRDefault="00000000" w:rsidRPr="00000000" w14:paraId="000000C5">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Humano</w:t>
            </w:r>
          </w:p>
        </w:tc>
        <w:tc>
          <w:tcPr>
            <w:gridSpan w:val="3"/>
            <w:vAlign w:val="center"/>
          </w:tcPr>
          <w:p w:rsidR="00000000" w:rsidDel="00000000" w:rsidP="00000000" w:rsidRDefault="00000000" w:rsidRPr="00000000" w14:paraId="000000CB">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Línea de acción</w:t>
            </w:r>
          </w:p>
        </w:tc>
        <w:tc>
          <w:tcPr>
            <w:gridSpan w:val="11"/>
            <w:vAlign w:val="center"/>
          </w:tcPr>
          <w:p w:rsidR="00000000" w:rsidDel="00000000" w:rsidP="00000000" w:rsidRDefault="00000000" w:rsidRPr="00000000" w14:paraId="000000CE">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Educación</w:t>
            </w:r>
          </w:p>
        </w:tc>
      </w:tr>
      <w:tr>
        <w:trPr>
          <w:cantSplit w:val="0"/>
          <w:tblHeader w:val="0"/>
        </w:trPr>
        <w:tc>
          <w:tcPr>
            <w:gridSpan w:val="3"/>
            <w:vAlign w:val="center"/>
          </w:tcPr>
          <w:p w:rsidR="00000000" w:rsidDel="00000000" w:rsidP="00000000" w:rsidRDefault="00000000" w:rsidRPr="00000000" w14:paraId="000000D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Código de producto</w:t>
            </w:r>
          </w:p>
        </w:tc>
        <w:tc>
          <w:tcPr>
            <w:gridSpan w:val="6"/>
            <w:vAlign w:val="center"/>
          </w:tcPr>
          <w:p w:rsidR="00000000" w:rsidDel="00000000" w:rsidP="00000000" w:rsidRDefault="00000000" w:rsidRPr="00000000" w14:paraId="000000DC">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2.2.1</w:t>
            </w:r>
          </w:p>
        </w:tc>
        <w:tc>
          <w:tcPr>
            <w:gridSpan w:val="3"/>
            <w:vAlign w:val="center"/>
          </w:tcPr>
          <w:p w:rsidR="00000000" w:rsidDel="00000000" w:rsidP="00000000" w:rsidRDefault="00000000" w:rsidRPr="00000000" w14:paraId="000000E2">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Nombre del producto</w:t>
            </w:r>
          </w:p>
        </w:tc>
        <w:tc>
          <w:tcPr>
            <w:gridSpan w:val="11"/>
            <w:vAlign w:val="center"/>
          </w:tcPr>
          <w:p w:rsidR="00000000" w:rsidDel="00000000" w:rsidP="00000000" w:rsidRDefault="00000000" w:rsidRPr="00000000" w14:paraId="000000E5">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Programa para encuentros de intercambio de experiencias y saberes de bibliotecarios de la red distrital.</w:t>
            </w:r>
          </w:p>
        </w:tc>
      </w:tr>
      <w:tr>
        <w:trPr>
          <w:cantSplit w:val="0"/>
          <w:tblHeader w:val="0"/>
        </w:trPr>
        <w:tc>
          <w:tcPr>
            <w:gridSpan w:val="3"/>
            <w:vAlign w:val="center"/>
          </w:tcPr>
          <w:p w:rsidR="00000000" w:rsidDel="00000000" w:rsidP="00000000" w:rsidRDefault="00000000" w:rsidRPr="00000000" w14:paraId="000000F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Población objetivo del producto</w:t>
            </w:r>
          </w:p>
        </w:tc>
        <w:tc>
          <w:tcPr>
            <w:gridSpan w:val="20"/>
            <w:vAlign w:val="center"/>
          </w:tcPr>
          <w:p w:rsidR="00000000" w:rsidDel="00000000" w:rsidP="00000000" w:rsidRDefault="00000000" w:rsidRPr="00000000" w14:paraId="000000F3">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Coordinadores, mediadores y personal de la Red Distrital de Bibliotecas Públicas </w:t>
            </w:r>
          </w:p>
        </w:tc>
      </w:tr>
      <w:tr>
        <w:trPr>
          <w:cantSplit w:val="0"/>
          <w:tblHeader w:val="0"/>
        </w:trPr>
        <w:tc>
          <w:tcPr>
            <w:gridSpan w:val="3"/>
            <w:vAlign w:val="center"/>
          </w:tcPr>
          <w:p w:rsidR="00000000" w:rsidDel="00000000" w:rsidP="00000000" w:rsidRDefault="00000000" w:rsidRPr="00000000" w14:paraId="0000010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Relación con el Plan de Desarrollo Distrital -PDD</w:t>
            </w:r>
          </w:p>
        </w:tc>
        <w:tc>
          <w:tcPr>
            <w:gridSpan w:val="4"/>
            <w:vAlign w:val="center"/>
          </w:tcPr>
          <w:p w:rsidR="00000000" w:rsidDel="00000000" w:rsidP="00000000" w:rsidRDefault="00000000" w:rsidRPr="00000000" w14:paraId="0000010A">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No</w:t>
            </w:r>
          </w:p>
          <w:p w:rsidR="00000000" w:rsidDel="00000000" w:rsidP="00000000" w:rsidRDefault="00000000" w:rsidRPr="00000000" w14:paraId="0000010B">
            <w:pPr>
              <w:rPr>
                <w:rFonts w:ascii="Times New Roman" w:cs="Times New Roman" w:eastAsia="Times New Roman" w:hAnsi="Times New Roman"/>
                <w:sz w:val="13"/>
                <w:szCs w:val="13"/>
              </w:rPr>
            </w:pPr>
            <w:r w:rsidDel="00000000" w:rsidR="00000000" w:rsidRPr="00000000">
              <w:rPr>
                <w:rtl w:val="0"/>
              </w:rPr>
            </w:r>
          </w:p>
        </w:tc>
        <w:tc>
          <w:tcPr>
            <w:gridSpan w:val="2"/>
            <w:vAlign w:val="center"/>
          </w:tcPr>
          <w:p w:rsidR="00000000" w:rsidDel="00000000" w:rsidP="00000000" w:rsidRDefault="00000000" w:rsidRPr="00000000" w14:paraId="0000010F">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Pilar, Objetivo o Eje del PDD</w:t>
            </w:r>
          </w:p>
        </w:tc>
        <w:tc>
          <w:tcPr>
            <w:gridSpan w:val="6"/>
            <w:vAlign w:val="center"/>
          </w:tcPr>
          <w:p w:rsidR="00000000" w:rsidDel="00000000" w:rsidP="00000000" w:rsidRDefault="00000000" w:rsidRPr="00000000" w14:paraId="00000111">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NA</w:t>
            </w:r>
          </w:p>
        </w:tc>
        <w:tc>
          <w:tcPr>
            <w:gridSpan w:val="5"/>
            <w:vAlign w:val="center"/>
          </w:tcPr>
          <w:p w:rsidR="00000000" w:rsidDel="00000000" w:rsidP="00000000" w:rsidRDefault="00000000" w:rsidRPr="00000000" w14:paraId="00000117">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Programa del PDD</w:t>
            </w:r>
          </w:p>
        </w:tc>
        <w:tc>
          <w:tcPr>
            <w:gridSpan w:val="3"/>
            <w:vAlign w:val="center"/>
          </w:tcPr>
          <w:p w:rsidR="00000000" w:rsidDel="00000000" w:rsidP="00000000" w:rsidRDefault="00000000" w:rsidRPr="00000000" w14:paraId="0000011C">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NA</w:t>
            </w:r>
          </w:p>
        </w:tc>
      </w:tr>
      <w:tr>
        <w:trPr>
          <w:cantSplit w:val="0"/>
          <w:trHeight w:val="150" w:hRule="atLeast"/>
          <w:tblHeader w:val="0"/>
        </w:trPr>
        <w:tc>
          <w:tcPr>
            <w:gridSpan w:val="23"/>
            <w:vAlign w:val="center"/>
          </w:tcPr>
          <w:p w:rsidR="00000000" w:rsidDel="00000000" w:rsidP="00000000" w:rsidRDefault="00000000" w:rsidRPr="00000000" w14:paraId="0000011F">
            <w:pPr>
              <w:rPr>
                <w:rFonts w:ascii="Times New Roman" w:cs="Times New Roman" w:eastAsia="Times New Roman" w:hAnsi="Times New Roman"/>
                <w:b w:val="1"/>
                <w:bCs w:val="1"/>
                <w:sz w:val="13"/>
                <w:szCs w:val="13"/>
              </w:rPr>
            </w:pPr>
            <w:r w:rsidDel="00000000" w:rsidR="00000000" w:rsidRPr="00000000">
              <w:rPr>
                <w:rtl w:val="0"/>
              </w:rPr>
            </w:r>
          </w:p>
        </w:tc>
      </w:tr>
      <w:tr>
        <w:trPr>
          <w:cantSplit w:val="0"/>
          <w:trHeight w:val="150" w:hRule="atLeast"/>
          <w:tblHeader w:val="0"/>
        </w:trPr>
        <w:tc>
          <w:tcPr>
            <w:gridSpan w:val="23"/>
            <w:vAlign w:val="center"/>
          </w:tcPr>
          <w:p w:rsidR="00000000" w:rsidDel="00000000" w:rsidP="00000000" w:rsidRDefault="00000000" w:rsidRPr="00000000" w14:paraId="00000136">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INFORMACIÓN DEL PRODUCTO</w:t>
            </w:r>
          </w:p>
        </w:tc>
      </w:tr>
      <w:tr>
        <w:trPr>
          <w:cantSplit w:val="0"/>
          <w:trHeight w:val="73" w:hRule="atLeast"/>
          <w:tblHeader w:val="0"/>
        </w:trPr>
        <w:tc>
          <w:tcPr>
            <w:gridSpan w:val="4"/>
            <w:vAlign w:val="center"/>
          </w:tcPr>
          <w:p w:rsidR="00000000" w:rsidDel="00000000" w:rsidP="00000000" w:rsidRDefault="00000000" w:rsidRPr="00000000" w14:paraId="0000014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Descripción</w:t>
            </w:r>
          </w:p>
        </w:tc>
        <w:tc>
          <w:tcPr>
            <w:gridSpan w:val="19"/>
            <w:vAlign w:val="center"/>
          </w:tcPr>
          <w:p w:rsidR="00000000" w:rsidDel="00000000" w:rsidP="00000000" w:rsidRDefault="00000000" w:rsidRPr="00000000" w14:paraId="00000151">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b w:val="1"/>
                <w:bCs w:val="1"/>
                <w:sz w:val="13"/>
                <w:szCs w:val="13"/>
                <w:rtl w:val="0"/>
              </w:rPr>
              <w:t xml:space="preserve">Justificación de la competencia: </w:t>
            </w:r>
            <w:r w:rsidDel="00000000" w:rsidR="00000000" w:rsidRPr="00000000">
              <w:rPr>
                <w:rFonts w:ascii="Times New Roman" w:cs="Times New Roman" w:eastAsia="Times New Roman" w:hAnsi="Times New Roman"/>
                <w:sz w:val="13"/>
                <w:szCs w:val="13"/>
                <w:rtl w:val="0"/>
              </w:rPr>
              <w:t xml:space="preserve">De conformidad con la disposición normativa, la entidad encargada de gestionar la política pública cultural de Cartagena y garantizar su eficaz cumplimiento y aplicación es el Instituto de Patrimonio y Cultura – IPCC, en virtud del Acuerdo Distrital 001 de 2003 el IPCC debe promover la participación de la ciudadanía en los escenarios culturales, garantizar -por medio de la asignación de recursos y el acompañamiento necesarios- la creación y promoción de actividades artísticas y culturales en el distrito, ejecutar planes de acción que aporten a la infraestructura cultural de la ciudad, de manera que se generen oportunidades de desarrollo tanto del sector propiamente, como de los agentes. Asimismo, debe proveer recursos o presupuesto para la realización de eventos, la creación de programas y la oferta de bienes y servicios acordes con las voluntades y necesidades del sector y sus miembros. De igual manera, debe concertar, formular y ejecutar documentos en pro del mejoramiento y fortalecimiento del sector, y promover la creación, el fomento y el fortalecimiento de las bibliotecas públicas y de los servicios complementarios que a través de ellas se prestan. En particular, el artículo 87 dice que el “Instituto de Patrimonio y Cultura de Cartagena de Indias, consolidará y desarrollará la RED DE BIBLIOTECAS PÚBLICAS DEL DISTRITO, con el fin de promover la creación, el fomento y el fortalecimiento de las bibliotecas públicas y mixtas y de los servicios complementarios que a través de ellas se prestan. Para ello deberán incluir en su presupuesto anual las partidas necesarias para crear, fortalecer y sostener el mayor número de bibliotecas tanto en las áreas urbanas como rurales del Distrito” (p. 15). </w:t>
            </w:r>
            <w:r w:rsidDel="00000000" w:rsidR="00000000" w:rsidRPr="00000000">
              <w:rPr>
                <w:rFonts w:ascii="Times New Roman" w:cs="Times New Roman" w:eastAsia="Times New Roman" w:hAnsi="Times New Roman"/>
                <w:b w:val="1"/>
                <w:bCs w:val="1"/>
                <w:sz w:val="13"/>
                <w:szCs w:val="13"/>
                <w:rtl w:val="0"/>
              </w:rPr>
              <w:t xml:space="preserve">L</w:t>
            </w:r>
            <w:r w:rsidDel="00000000" w:rsidR="00000000" w:rsidRPr="00000000">
              <w:rPr>
                <w:rFonts w:ascii="Times New Roman" w:cs="Times New Roman" w:eastAsia="Times New Roman" w:hAnsi="Times New Roman"/>
                <w:sz w:val="13"/>
                <w:szCs w:val="13"/>
                <w:rtl w:val="0"/>
              </w:rPr>
              <w:t xml:space="preserve">a Red Distrital de Bibliotecas Públicas, al ser la encargada de brindar apoyo técnico a las bibliotecas públicas de la ciudad, realiza la gestión organizacional y la coordinación de los procesos, programas y proyectos llevados a cabo en ellas. </w:t>
            </w:r>
          </w:p>
          <w:p w:rsidR="00000000" w:rsidDel="00000000" w:rsidP="00000000" w:rsidRDefault="00000000" w:rsidRPr="00000000" w14:paraId="00000152">
            <w:pPr>
              <w:jc w:val="both"/>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b w:val="1"/>
                <w:bCs w:val="1"/>
                <w:sz w:val="13"/>
                <w:szCs w:val="13"/>
                <w:rtl w:val="0"/>
              </w:rPr>
              <w:t xml:space="preserve">Descripción de la relación causal del problema</w:t>
            </w:r>
            <w:r w:rsidDel="00000000" w:rsidR="00000000" w:rsidRPr="00000000">
              <w:rPr>
                <w:rFonts w:ascii="Times New Roman" w:cs="Times New Roman" w:eastAsia="Times New Roman" w:hAnsi="Times New Roman"/>
                <w:sz w:val="13"/>
                <w:szCs w:val="13"/>
                <w:rtl w:val="0"/>
              </w:rPr>
              <w:t xml:space="preserve">:Este producto está relacionado con el (PC4) “Poco reconocimiento del desarrollo profesional de los coordinadores y auxiliares de la Red de Bibliotecas y nombramientos sin tener en cuenta la experiencia y conocimientos del personal”</w:t>
            </w:r>
            <w:r w:rsidDel="00000000" w:rsidR="00000000" w:rsidRPr="00000000">
              <w:rPr>
                <w:rFonts w:ascii="Times New Roman" w:cs="Times New Roman" w:eastAsia="Times New Roman" w:hAnsi="Times New Roman"/>
                <w:b w:val="1"/>
                <w:bCs w:val="1"/>
                <w:sz w:val="13"/>
                <w:szCs w:val="13"/>
                <w:rtl w:val="0"/>
              </w:rPr>
              <w:t xml:space="preserve"> </w:t>
            </w:r>
            <w:r w:rsidDel="00000000" w:rsidR="00000000" w:rsidRPr="00000000">
              <w:rPr>
                <w:rFonts w:ascii="Times New Roman" w:cs="Times New Roman" w:eastAsia="Times New Roman" w:hAnsi="Times New Roman"/>
                <w:sz w:val="13"/>
                <w:szCs w:val="13"/>
                <w:rtl w:val="0"/>
              </w:rPr>
              <w:t xml:space="preserve">debido a la falta de intercambio de experiencias entre los bibliotecólogos y/o promotores de lectura, escritura y oralidad en las bibliotecas públicas de Cartagena puede atribuirse a limitaciones de recursos, falta de coordinación institucional, prioridades divergentes, falta de conciencia sobre los beneficios y posiblemente a una cultura organizacional que no fomente la colaboración. La escasez de presupuesto, la ausencia de estructuras formales para promover encuentros y la falta de reconocimiento de la importancia del intercambio de experiencias podrían estar contribuyendo a esta problemática. Resolverla implica asignar recursos específicos, establecer iniciativas formales, promover una cultura de colaboración y sensibilizar sobre los beneficios tangibles que el intercambio de experiencias puede aportar al mejoramiento de los servicios bibliotecarios. Se hace referencia a la carencia de una fuerte relación institucional y a su vez  de una infraestructura física y simbólica que responda a la labor que cumplen las bibliotecas y la necesidad de mayor capacitación y espacios de formación para el personal adscrito a las bibliotecas como bibliotecarios, coordinadores, promotores de lectura, para brindar asesoría, cuidado y manejo del servicio. La realización de un encuentro anual de bibliotecarios proporciona un espacio crucial para el intercambio de experiencias, la promoción de las mejores prácticas, y el desarrollo profesional. Estos eventos permiten a los bibliotecarios compartir conocimientos, actualizarse sobre las últimas tendencias y tecnologías en bibliotecología, compartir y concertar  agendas y participar en actividades de capacitación que fortalecen su capacidad para ofrecer servicios más efectivos y relevantes en sus comunidades.</w:t>
            </w: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b w:val="1"/>
                <w:bCs w:val="1"/>
                <w:sz w:val="13"/>
                <w:szCs w:val="13"/>
                <w:rtl w:val="0"/>
              </w:rPr>
              <w:t xml:space="preserve">Importancia comunitaria del punto crítico: </w:t>
            </w:r>
            <w:r w:rsidDel="00000000" w:rsidR="00000000" w:rsidRPr="00000000">
              <w:rPr>
                <w:rFonts w:ascii="Times New Roman" w:cs="Times New Roman" w:eastAsia="Times New Roman" w:hAnsi="Times New Roman"/>
                <w:sz w:val="13"/>
                <w:szCs w:val="13"/>
                <w:rtl w:val="0"/>
              </w:rPr>
              <w:t xml:space="preserve">El intercambio de buenas prácticas, experiencias exitosas y saberes del personal de bibliotecas de la Red Distrital de Bibliotecas, puede materializarse como la plataforma o puente que permita la construcción de aprendizajes colectivos, de dar voz y reconocimiento al quehacer, al rol y lo que aflora de ello para la consecución de retroalimentación que permita la mantenencia del ofrecimiento de un servicio óptimo, idóneo y humano. </w:t>
            </w:r>
            <w:r w:rsidDel="00000000" w:rsidR="00000000" w:rsidRPr="00000000">
              <w:rPr>
                <w:rFonts w:ascii="Times New Roman" w:cs="Times New Roman" w:eastAsia="Times New Roman" w:hAnsi="Times New Roman"/>
                <w:sz w:val="13"/>
                <w:szCs w:val="13"/>
                <w:rtl w:val="0"/>
              </w:rPr>
              <w:t xml:space="preserve">Situación que fue manifestada de manera recurrente por parte los asistentes a las Mesas de Concertación y Validación, donde, al priorizar factores estratégicos, se le valoró el (PC4) con una puntuación de 4,6 en la escala de Likert (1 es “nada relevante” y 5 “muy relevante”).</w:t>
            </w:r>
          </w:p>
          <w:p w:rsidR="00000000" w:rsidDel="00000000" w:rsidP="00000000" w:rsidRDefault="00000000" w:rsidRPr="00000000" w14:paraId="00000156">
            <w:pPr>
              <w:jc w:val="both"/>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b w:val="1"/>
                <w:bCs w:val="1"/>
                <w:color w:val="000000"/>
                <w:sz w:val="13"/>
                <w:szCs w:val="13"/>
              </w:rPr>
            </w:pPr>
            <w:r w:rsidDel="00000000" w:rsidR="00000000" w:rsidRPr="00000000">
              <w:rPr>
                <w:rFonts w:ascii="Times New Roman" w:cs="Times New Roman" w:eastAsia="Times New Roman" w:hAnsi="Times New Roman"/>
                <w:b w:val="1"/>
                <w:bCs w:val="1"/>
                <w:sz w:val="13"/>
                <w:szCs w:val="13"/>
                <w:rtl w:val="0"/>
              </w:rPr>
              <w:t xml:space="preserve">Elección del número de vigencias proyectadas para la implementación de producto: </w:t>
            </w:r>
            <w:r w:rsidDel="00000000" w:rsidR="00000000" w:rsidRPr="00000000">
              <w:rPr>
                <w:rFonts w:ascii="Times New Roman" w:cs="Times New Roman" w:eastAsia="Times New Roman" w:hAnsi="Times New Roman"/>
                <w:sz w:val="13"/>
                <w:szCs w:val="13"/>
                <w:rtl w:val="0"/>
              </w:rPr>
              <w:t xml:space="preserve">se realizará un encuentro de intercambio de experiencias y experiencias exitosas entre funcionarios de la red distrital cada año a partir del primer año de implementación; esta propuesta evidencia un gran desafío durante la vigencia de la política pública, pero tiene como finalidad mejorar la gestión en las bibliotecas, garantizando que los profesionales adecuados ocupen los roles adecuados, y que se les brinde el reconocimiento y las oportunidades que merecen, con el objetivo de potenciar una oferta de prestación de servicios óptima.</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6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Indicador del producto</w:t>
            </w:r>
          </w:p>
        </w:tc>
        <w:tc>
          <w:tcPr>
            <w:gridSpan w:val="17"/>
            <w:vAlign w:val="center"/>
          </w:tcPr>
          <w:p w:rsidR="00000000" w:rsidDel="00000000" w:rsidP="00000000" w:rsidRDefault="00000000" w:rsidRPr="00000000" w14:paraId="00000170">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Número de encuentros para el intercambio de experiencias y saberes de bibliotecarios de la red distrital realizados.</w:t>
            </w:r>
          </w:p>
        </w:tc>
      </w:tr>
      <w:tr>
        <w:trPr>
          <w:cantSplit w:val="0"/>
          <w:trHeight w:val="73" w:hRule="atLeast"/>
          <w:tblHeader w:val="0"/>
        </w:trPr>
        <w:tc>
          <w:tcPr>
            <w:gridSpan w:val="6"/>
            <w:vAlign w:val="center"/>
          </w:tcPr>
          <w:p w:rsidR="00000000" w:rsidDel="00000000" w:rsidP="00000000" w:rsidRDefault="00000000" w:rsidRPr="00000000" w14:paraId="00000181">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Fórmula de cálculo de los indicadores del producto</w:t>
            </w:r>
          </w:p>
        </w:tc>
        <w:tc>
          <w:tcPr>
            <w:gridSpan w:val="17"/>
            <w:vAlign w:val="center"/>
          </w:tcPr>
          <w:p w:rsidR="00000000" w:rsidDel="00000000" w:rsidP="00000000" w:rsidRDefault="00000000" w:rsidRPr="00000000" w14:paraId="00000187">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Sumatoria de encuentros para el intercambio de experiencias y saberes de bibliotecarios de la red distrital realizados.</w:t>
            </w:r>
          </w:p>
        </w:tc>
      </w:tr>
      <w:tr>
        <w:trPr>
          <w:cantSplit w:val="0"/>
          <w:trHeight w:val="73" w:hRule="atLeast"/>
          <w:tblHeader w:val="0"/>
        </w:trPr>
        <w:tc>
          <w:tcPr>
            <w:gridSpan w:val="6"/>
            <w:vAlign w:val="center"/>
          </w:tcPr>
          <w:p w:rsidR="00000000" w:rsidDel="00000000" w:rsidP="00000000" w:rsidRDefault="00000000" w:rsidRPr="00000000" w14:paraId="0000019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Línea base del producto</w:t>
            </w:r>
          </w:p>
        </w:tc>
        <w:tc>
          <w:tcPr>
            <w:gridSpan w:val="7"/>
            <w:vAlign w:val="center"/>
          </w:tcPr>
          <w:p w:rsidR="00000000" w:rsidDel="00000000" w:rsidP="00000000" w:rsidRDefault="00000000" w:rsidRPr="00000000" w14:paraId="0000019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0</w:t>
            </w:r>
          </w:p>
        </w:tc>
        <w:tc>
          <w:tcPr>
            <w:gridSpan w:val="4"/>
            <w:vAlign w:val="center"/>
          </w:tcPr>
          <w:p w:rsidR="00000000" w:rsidDel="00000000" w:rsidP="00000000" w:rsidRDefault="00000000" w:rsidRPr="00000000" w14:paraId="000001A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Fecha de la LB</w:t>
            </w:r>
          </w:p>
        </w:tc>
        <w:tc>
          <w:tcPr>
            <w:gridSpan w:val="3"/>
            <w:vAlign w:val="center"/>
          </w:tcPr>
          <w:p w:rsidR="00000000" w:rsidDel="00000000" w:rsidP="00000000" w:rsidRDefault="00000000" w:rsidRPr="00000000" w14:paraId="000001A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2023</w:t>
            </w:r>
          </w:p>
        </w:tc>
        <w:tc>
          <w:tcPr>
            <w:vAlign w:val="center"/>
          </w:tcPr>
          <w:p w:rsidR="00000000" w:rsidDel="00000000" w:rsidP="00000000" w:rsidRDefault="00000000" w:rsidRPr="00000000" w14:paraId="000001A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Fuente de la LB </w:t>
            </w:r>
          </w:p>
        </w:tc>
        <w:tc>
          <w:tcPr>
            <w:gridSpan w:val="2"/>
            <w:vAlign w:val="center"/>
          </w:tcPr>
          <w:p w:rsidR="00000000" w:rsidDel="00000000" w:rsidP="00000000" w:rsidRDefault="00000000" w:rsidRPr="00000000" w14:paraId="000001A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IPCC</w:t>
            </w:r>
          </w:p>
        </w:tc>
      </w:tr>
      <w:tr>
        <w:trPr>
          <w:cantSplit w:val="0"/>
          <w:trHeight w:val="73" w:hRule="atLeast"/>
          <w:tblHeader w:val="0"/>
        </w:trPr>
        <w:tc>
          <w:tcPr>
            <w:gridSpan w:val="6"/>
            <w:vAlign w:val="center"/>
          </w:tcPr>
          <w:p w:rsidR="00000000" w:rsidDel="00000000" w:rsidP="00000000" w:rsidRDefault="00000000" w:rsidRPr="00000000" w14:paraId="000001AF">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Producto esperado (meta total)</w:t>
            </w:r>
          </w:p>
        </w:tc>
        <w:tc>
          <w:tcPr>
            <w:gridSpan w:val="17"/>
            <w:vAlign w:val="center"/>
          </w:tcPr>
          <w:p w:rsidR="00000000" w:rsidDel="00000000" w:rsidP="00000000" w:rsidRDefault="00000000" w:rsidRPr="00000000" w14:paraId="000001B5">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b w:val="1"/>
                <w:bCs w:val="1"/>
                <w:sz w:val="13"/>
                <w:szCs w:val="13"/>
                <w:rtl w:val="0"/>
              </w:rPr>
              <w:t xml:space="preserve">Meta total: 12 </w:t>
            </w:r>
            <w:r w:rsidDel="00000000" w:rsidR="00000000" w:rsidRPr="00000000">
              <w:rPr>
                <w:rFonts w:ascii="Times New Roman" w:cs="Times New Roman" w:eastAsia="Times New Roman" w:hAnsi="Times New Roman"/>
                <w:sz w:val="13"/>
                <w:szCs w:val="13"/>
                <w:rtl w:val="0"/>
              </w:rPr>
              <w:t xml:space="preserve">encuentros para el intercambio de experiencias y saberes de bibliotecarios de la red distrital realizados. Con esta meta se pretende generar espacios donde se reconozca el rol de los bibliotecarios de la Red Distrital de Bibliotecas, y sea posible compartir los conocimientos, aprendizajes, saberes que puedan potenciar su quehacer. Se toma todo el año como la oportunidad de compilar datos e información para luego compartirla y así de manera grupal puede generarse crecimiento personal y profesional. </w:t>
            </w:r>
          </w:p>
        </w:tc>
      </w:tr>
      <w:tr>
        <w:trPr>
          <w:cantSplit w:val="0"/>
          <w:trHeight w:val="73" w:hRule="atLeast"/>
          <w:tblHeader w:val="0"/>
        </w:trPr>
        <w:tc>
          <w:tcPr>
            <w:gridSpan w:val="6"/>
            <w:vAlign w:val="center"/>
          </w:tcPr>
          <w:p w:rsidR="00000000" w:rsidDel="00000000" w:rsidP="00000000" w:rsidRDefault="00000000" w:rsidRPr="00000000" w14:paraId="000001C6">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Vigencias de implementación proyectadas</w:t>
            </w:r>
            <w:r w:rsidDel="00000000" w:rsidR="00000000" w:rsidRPr="00000000">
              <w:rPr>
                <w:rtl w:val="0"/>
              </w:rPr>
            </w:r>
          </w:p>
        </w:tc>
        <w:tc>
          <w:tcPr>
            <w:gridSpan w:val="5"/>
            <w:vAlign w:val="center"/>
          </w:tcPr>
          <w:p w:rsidR="00000000" w:rsidDel="00000000" w:rsidP="00000000" w:rsidRDefault="00000000" w:rsidRPr="00000000" w14:paraId="000001CC">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2026, 2027, 2028, 2029, 2030, 2031, 2032, 2033, 2034, 2035, 2036, 2037</w:t>
            </w:r>
            <w:r w:rsidDel="00000000" w:rsidR="00000000" w:rsidRPr="00000000">
              <w:rPr>
                <w:rtl w:val="0"/>
              </w:rPr>
            </w:r>
          </w:p>
        </w:tc>
        <w:tc>
          <w:tcPr>
            <w:vAlign w:val="center"/>
          </w:tcPr>
          <w:p w:rsidR="00000000" w:rsidDel="00000000" w:rsidP="00000000" w:rsidRDefault="00000000" w:rsidRPr="00000000" w14:paraId="000001D1">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Códigos de vigencias</w:t>
            </w:r>
          </w:p>
        </w:tc>
        <w:tc>
          <w:tcPr>
            <w:gridSpan w:val="11"/>
            <w:vAlign w:val="center"/>
          </w:tcPr>
          <w:p w:rsidR="00000000" w:rsidDel="00000000" w:rsidP="00000000" w:rsidRDefault="00000000" w:rsidRPr="00000000" w14:paraId="000001D2">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1, 2, 3, 4, 5, 6, 7, 8, 9, 10, 11, 12</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D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Metas por vigencia </w:t>
            </w:r>
          </w:p>
        </w:tc>
        <w:tc>
          <w:tcPr>
            <w:gridSpan w:val="17"/>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3"/>
                <w:szCs w:val="13"/>
              </w:rPr>
            </w:pPr>
            <w:r w:rsidDel="00000000" w:rsidR="00000000" w:rsidRPr="00000000">
              <w:rPr>
                <w:rtl w:val="0"/>
              </w:rPr>
            </w:r>
          </w:p>
          <w:tbl>
            <w:tblPr>
              <w:tblStyle w:val="Table2"/>
              <w:tblW w:w="8233.0" w:type="dxa"/>
              <w:jc w:val="left"/>
              <w:tblLayout w:type="fixed"/>
              <w:tblLook w:val="0400"/>
            </w:tblPr>
            <w:tblGrid>
              <w:gridCol w:w="748"/>
              <w:gridCol w:w="750"/>
              <w:gridCol w:w="750"/>
              <w:gridCol w:w="750"/>
              <w:gridCol w:w="749"/>
              <w:gridCol w:w="749"/>
              <w:gridCol w:w="749"/>
              <w:gridCol w:w="749"/>
              <w:gridCol w:w="749"/>
              <w:gridCol w:w="749"/>
              <w:gridCol w:w="741"/>
              <w:tblGridChange w:id="0">
                <w:tblGrid>
                  <w:gridCol w:w="748"/>
                  <w:gridCol w:w="750"/>
                  <w:gridCol w:w="750"/>
                  <w:gridCol w:w="750"/>
                  <w:gridCol w:w="749"/>
                  <w:gridCol w:w="749"/>
                  <w:gridCol w:w="749"/>
                  <w:gridCol w:w="749"/>
                  <w:gridCol w:w="749"/>
                  <w:gridCol w:w="749"/>
                  <w:gridCol w:w="741"/>
                </w:tblGrid>
              </w:tblGridChange>
            </w:tblGrid>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4">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5">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6">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7">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8">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9">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A">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B">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C">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D">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EE">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F">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1">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5</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F9">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A">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F">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1">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04">
                  <w:pPr>
                    <w:jc w:val="center"/>
                    <w:rPr>
                      <w:rFonts w:ascii="Times New Roman" w:cs="Times New Roman" w:eastAsia="Times New Roman" w:hAnsi="Times New Roman"/>
                      <w:sz w:val="13"/>
                      <w:szCs w:val="13"/>
                    </w:rPr>
                  </w:pPr>
                  <w:r w:rsidDel="00000000" w:rsidR="00000000" w:rsidRPr="00000000">
                    <w:rPr>
                      <w:rtl w:val="0"/>
                    </w:rPr>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5">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10</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0F">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0">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11">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6">
                  <w:pPr>
                    <w:jc w:val="center"/>
                    <w:rPr>
                      <w:rFonts w:ascii="Times New Roman" w:cs="Times New Roman" w:eastAsia="Times New Roman" w:hAnsi="Times New Roman"/>
                      <w:sz w:val="13"/>
                      <w:szCs w:val="13"/>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1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B">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11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Año 12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F">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0">
                  <w:pPr>
                    <w:jc w:val="cente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1">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2">
                  <w:pPr>
                    <w:jc w:val="cente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4">
                  <w:pPr>
                    <w:jc w:val="cente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25">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6">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2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A">
                  <w:pPr>
                    <w:jc w:val="center"/>
                    <w:rPr>
                      <w:rFonts w:ascii="Times New Roman" w:cs="Times New Roman" w:eastAsia="Times New Roman" w:hAnsi="Times New Roman"/>
                      <w:sz w:val="13"/>
                      <w:szCs w:val="13"/>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F">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0">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1">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2">
                  <w:pPr>
                    <w:rPr>
                      <w:rFonts w:ascii="Times New Roman" w:cs="Times New Roman" w:eastAsia="Times New Roman" w:hAnsi="Times New Roman"/>
                      <w:sz w:val="13"/>
                      <w:szCs w:val="13"/>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Final</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7">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A">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B">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r>
              <w:trPr>
                <w:cantSplit w:val="0"/>
                <w:trHeight w:val="2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C">
                  <w:pPr>
                    <w:jc w:val="right"/>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3D">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F">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12</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1">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3">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4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 </w:t>
                  </w:r>
                </w:p>
              </w:tc>
            </w:tr>
          </w:tbl>
          <w:p w:rsidR="00000000" w:rsidDel="00000000" w:rsidP="00000000" w:rsidRDefault="00000000" w:rsidRPr="00000000" w14:paraId="00000247">
            <w:pPr>
              <w:jc w:val="center"/>
              <w:rPr>
                <w:rFonts w:ascii="Times New Roman" w:cs="Times New Roman" w:eastAsia="Times New Roman" w:hAnsi="Times New Roman"/>
                <w:b w:val="1"/>
                <w:bCs w:val="1"/>
                <w:sz w:val="13"/>
                <w:szCs w:val="13"/>
              </w:rPr>
            </w:pP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258">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Periodicidad de medición del indicador</w:t>
            </w:r>
          </w:p>
        </w:tc>
        <w:tc>
          <w:tcPr>
            <w:gridSpan w:val="17"/>
            <w:vAlign w:val="center"/>
          </w:tcPr>
          <w:p w:rsidR="00000000" w:rsidDel="00000000" w:rsidP="00000000" w:rsidRDefault="00000000" w:rsidRPr="00000000" w14:paraId="0000025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Semestral</w:t>
            </w:r>
          </w:p>
        </w:tc>
      </w:tr>
      <w:tr>
        <w:trPr>
          <w:cantSplit w:val="0"/>
          <w:trHeight w:val="73" w:hRule="atLeast"/>
          <w:tblHeader w:val="0"/>
        </w:trPr>
        <w:tc>
          <w:tcPr>
            <w:gridSpan w:val="7"/>
            <w:vAlign w:val="center"/>
          </w:tcPr>
          <w:p w:rsidR="00000000" w:rsidDel="00000000" w:rsidP="00000000" w:rsidRDefault="00000000" w:rsidRPr="00000000" w14:paraId="0000026F">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Enfoque del producto</w:t>
            </w:r>
          </w:p>
        </w:tc>
        <w:tc>
          <w:tcPr>
            <w:gridSpan w:val="16"/>
            <w:vAlign w:val="center"/>
          </w:tcPr>
          <w:p w:rsidR="00000000" w:rsidDel="00000000" w:rsidP="00000000" w:rsidRDefault="00000000" w:rsidRPr="00000000" w14:paraId="00000276">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Derechos Humanos; Diferencial; Territorial</w:t>
            </w:r>
            <w:r w:rsidDel="00000000" w:rsidR="00000000" w:rsidRPr="00000000">
              <w:rPr>
                <w:rtl w:val="0"/>
              </w:rPr>
            </w:r>
          </w:p>
        </w:tc>
      </w:tr>
      <w:tr>
        <w:trPr>
          <w:cantSplit w:val="0"/>
          <w:trHeight w:val="73" w:hRule="atLeast"/>
          <w:tblHeader w:val="0"/>
        </w:trPr>
        <w:tc>
          <w:tcPr>
            <w:gridSpan w:val="7"/>
            <w:vAlign w:val="center"/>
          </w:tcPr>
          <w:p w:rsidR="00000000" w:rsidDel="00000000" w:rsidP="00000000" w:rsidRDefault="00000000" w:rsidRPr="00000000" w14:paraId="0000028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Objetivo de desarrollo sostenible -ODS-</w:t>
            </w:r>
          </w:p>
        </w:tc>
        <w:tc>
          <w:tcPr>
            <w:gridSpan w:val="8"/>
            <w:vAlign w:val="center"/>
          </w:tcPr>
          <w:p w:rsidR="00000000" w:rsidDel="00000000" w:rsidP="00000000" w:rsidRDefault="00000000" w:rsidRPr="00000000" w14:paraId="0000028D">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Alianzas para lograr objetivos </w:t>
            </w:r>
            <w:r w:rsidDel="00000000" w:rsidR="00000000" w:rsidRPr="00000000">
              <w:rPr>
                <w:rtl w:val="0"/>
              </w:rPr>
            </w:r>
          </w:p>
        </w:tc>
        <w:tc>
          <w:tcPr>
            <w:gridSpan w:val="7"/>
            <w:vAlign w:val="center"/>
          </w:tcPr>
          <w:p w:rsidR="00000000" w:rsidDel="00000000" w:rsidP="00000000" w:rsidRDefault="00000000" w:rsidRPr="00000000" w14:paraId="00000295">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Código ODS</w:t>
            </w:r>
          </w:p>
        </w:tc>
        <w:tc>
          <w:tcPr>
            <w:vAlign w:val="center"/>
          </w:tcPr>
          <w:p w:rsidR="00000000" w:rsidDel="00000000" w:rsidP="00000000" w:rsidRDefault="00000000" w:rsidRPr="00000000" w14:paraId="0000029C">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sz w:val="13"/>
                <w:szCs w:val="13"/>
                <w:rtl w:val="0"/>
              </w:rPr>
              <w:t xml:space="preserve">17</w:t>
            </w:r>
            <w:r w:rsidDel="00000000" w:rsidR="00000000" w:rsidRPr="00000000">
              <w:rPr>
                <w:rtl w:val="0"/>
              </w:rPr>
            </w:r>
          </w:p>
        </w:tc>
      </w:tr>
      <w:tr>
        <w:trPr>
          <w:cantSplit w:val="0"/>
          <w:trHeight w:val="73" w:hRule="atLeast"/>
          <w:tblHeader w:val="0"/>
        </w:trPr>
        <w:tc>
          <w:tcPr>
            <w:gridSpan w:val="23"/>
            <w:vAlign w:val="center"/>
          </w:tcPr>
          <w:p w:rsidR="00000000" w:rsidDel="00000000" w:rsidP="00000000" w:rsidRDefault="00000000" w:rsidRPr="00000000" w14:paraId="0000029D">
            <w:pPr>
              <w:jc w:val="center"/>
              <w:rPr>
                <w:rFonts w:ascii="Times New Roman" w:cs="Times New Roman" w:eastAsia="Times New Roman" w:hAnsi="Times New Roman"/>
                <w:b w:val="1"/>
                <w:bCs w:val="1"/>
                <w:sz w:val="13"/>
                <w:szCs w:val="13"/>
              </w:rPr>
            </w:pPr>
            <w:r w:rsidDel="00000000" w:rsidR="00000000" w:rsidRPr="00000000">
              <w:rPr>
                <w:rFonts w:ascii="Times New Roman" w:cs="Times New Roman" w:eastAsia="Times New Roman" w:hAnsi="Times New Roman"/>
                <w:b w:val="1"/>
                <w:bCs w:val="1"/>
                <w:sz w:val="13"/>
                <w:szCs w:val="13"/>
                <w:rtl w:val="0"/>
              </w:rPr>
              <w:t xml:space="preserve">RESPONSABLE DEL PRODUCTO </w:t>
            </w:r>
          </w:p>
        </w:tc>
      </w:tr>
      <w:tr>
        <w:trPr>
          <w:cantSplit w:val="0"/>
          <w:trHeight w:val="73" w:hRule="atLeast"/>
          <w:tblHeader w:val="0"/>
        </w:trPr>
        <w:tc>
          <w:tcPr>
            <w:gridSpan w:val="5"/>
            <w:vAlign w:val="center"/>
          </w:tcPr>
          <w:p w:rsidR="00000000" w:rsidDel="00000000" w:rsidP="00000000" w:rsidRDefault="00000000" w:rsidRPr="00000000" w14:paraId="000002B4">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Nombre del funcionario responsable del indicador</w:t>
            </w:r>
          </w:p>
        </w:tc>
        <w:tc>
          <w:tcPr>
            <w:gridSpan w:val="3"/>
            <w:vAlign w:val="center"/>
          </w:tcPr>
          <w:p w:rsidR="00000000" w:rsidDel="00000000" w:rsidP="00000000" w:rsidRDefault="00000000" w:rsidRPr="00000000" w14:paraId="000002B9">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Patricia del Carmen Diaz Castro</w:t>
            </w:r>
          </w:p>
        </w:tc>
        <w:tc>
          <w:tcPr>
            <w:gridSpan w:val="2"/>
            <w:vAlign w:val="center"/>
          </w:tcPr>
          <w:p w:rsidR="00000000" w:rsidDel="00000000" w:rsidP="00000000" w:rsidRDefault="00000000" w:rsidRPr="00000000" w14:paraId="000002BC">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Dependencia </w:t>
            </w:r>
          </w:p>
        </w:tc>
        <w:tc>
          <w:tcPr>
            <w:gridSpan w:val="4"/>
            <w:vAlign w:val="center"/>
          </w:tcPr>
          <w:p w:rsidR="00000000" w:rsidDel="00000000" w:rsidP="00000000" w:rsidRDefault="00000000" w:rsidRPr="00000000" w14:paraId="000002BE">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Cord Red de Bibliotecas</w:t>
            </w:r>
          </w:p>
        </w:tc>
        <w:tc>
          <w:tcPr>
            <w:gridSpan w:val="4"/>
            <w:vAlign w:val="center"/>
          </w:tcPr>
          <w:p w:rsidR="00000000" w:rsidDel="00000000" w:rsidP="00000000" w:rsidRDefault="00000000" w:rsidRPr="00000000" w14:paraId="000002C2">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Correo electrónico </w:t>
            </w:r>
          </w:p>
        </w:tc>
        <w:tc>
          <w:tcPr>
            <w:gridSpan w:val="5"/>
            <w:vAlign w:val="center"/>
          </w:tcPr>
          <w:p w:rsidR="00000000" w:rsidDel="00000000" w:rsidP="00000000" w:rsidRDefault="00000000" w:rsidRPr="00000000" w14:paraId="000002C6">
            <w:pPr>
              <w:jc w:val="cente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coord.bibliotecasyfiestas@ipcc.gov.co</w:t>
            </w:r>
          </w:p>
        </w:tc>
      </w:tr>
    </w:tbl>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2CC">
      <w:pPr>
        <w:rPr>
          <w:rFonts w:ascii="Times New Roman" w:cs="Times New Roman" w:eastAsia="Times New Roman" w:hAnsi="Times New Roman"/>
          <w:b w:val="1"/>
          <w:bCs w:val="1"/>
          <w:sz w:val="13"/>
          <w:szCs w:val="13"/>
        </w:rPr>
      </w:pPr>
      <w:r w:rsidDel="00000000" w:rsidR="00000000" w:rsidRPr="00000000">
        <w:rPr>
          <w:rtl w:val="0"/>
        </w:rPr>
      </w:r>
    </w:p>
    <w:tbl>
      <w:tblPr>
        <w:tblStyle w:val="Table3"/>
        <w:tblW w:w="11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9"/>
        <w:gridCol w:w="2412"/>
        <w:gridCol w:w="1118"/>
        <w:gridCol w:w="2366"/>
        <w:gridCol w:w="925"/>
        <w:gridCol w:w="2962"/>
        <w:tblGridChange w:id="0">
          <w:tblGrid>
            <w:gridCol w:w="1269"/>
            <w:gridCol w:w="2412"/>
            <w:gridCol w:w="1118"/>
            <w:gridCol w:w="2366"/>
            <w:gridCol w:w="925"/>
            <w:gridCol w:w="2962"/>
          </w:tblGrid>
        </w:tblGridChange>
      </w:tblGrid>
      <w:tr>
        <w:trPr>
          <w:cantSplit w:val="0"/>
          <w:tblHeader w:val="0"/>
        </w:trPr>
        <w:tc>
          <w:tcPr>
            <w:vAlign w:val="center"/>
          </w:tcPr>
          <w:p w:rsidR="00000000" w:rsidDel="00000000" w:rsidP="00000000" w:rsidRDefault="00000000" w:rsidRPr="00000000" w14:paraId="000002CD">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Viabilidad técnica </w:t>
            </w:r>
          </w:p>
          <w:p w:rsidR="00000000" w:rsidDel="00000000" w:rsidP="00000000" w:rsidRDefault="00000000" w:rsidRPr="00000000" w14:paraId="000002CE">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SDP</w:t>
            </w:r>
          </w:p>
        </w:tc>
        <w:tc>
          <w:tcPr>
            <w:vAlign w:val="center"/>
          </w:tcPr>
          <w:p w:rsidR="00000000" w:rsidDel="00000000" w:rsidP="00000000" w:rsidRDefault="00000000" w:rsidRPr="00000000" w14:paraId="000002CF">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color w:val="a5a5a5"/>
                <w:sz w:val="13"/>
                <w:szCs w:val="13"/>
                <w:rtl w:val="0"/>
              </w:rPr>
              <w:t xml:space="preserve">Visto bueno: Secretaría de Planeación Distrital</w:t>
            </w:r>
            <w:r w:rsidDel="00000000" w:rsidR="00000000" w:rsidRPr="00000000">
              <w:rPr>
                <w:rtl w:val="0"/>
              </w:rPr>
            </w:r>
          </w:p>
        </w:tc>
        <w:tc>
          <w:tcPr>
            <w:vAlign w:val="center"/>
          </w:tcPr>
          <w:p w:rsidR="00000000" w:rsidDel="00000000" w:rsidP="00000000" w:rsidRDefault="00000000" w:rsidRPr="00000000" w14:paraId="000002D0">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Aprobación Entidad coordinadora</w:t>
            </w:r>
          </w:p>
        </w:tc>
        <w:tc>
          <w:tcPr>
            <w:vAlign w:val="center"/>
          </w:tcPr>
          <w:p w:rsidR="00000000" w:rsidDel="00000000" w:rsidP="00000000" w:rsidRDefault="00000000" w:rsidRPr="00000000" w14:paraId="000002D1">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color w:val="a5a5a5"/>
                <w:sz w:val="13"/>
                <w:szCs w:val="13"/>
                <w:rtl w:val="0"/>
              </w:rPr>
              <w:t xml:space="preserve">Visto bueno: Entidad coordinadora de política</w:t>
            </w:r>
            <w:r w:rsidDel="00000000" w:rsidR="00000000" w:rsidRPr="00000000">
              <w:rPr>
                <w:rtl w:val="0"/>
              </w:rPr>
            </w:r>
          </w:p>
        </w:tc>
        <w:tc>
          <w:tcPr>
            <w:vAlign w:val="center"/>
          </w:tcPr>
          <w:p w:rsidR="00000000" w:rsidDel="00000000" w:rsidP="00000000" w:rsidRDefault="00000000" w:rsidRPr="00000000" w14:paraId="000002D2">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Viabilidad </w:t>
            </w:r>
          </w:p>
          <w:p w:rsidR="00000000" w:rsidDel="00000000" w:rsidP="00000000" w:rsidRDefault="00000000" w:rsidRPr="00000000" w14:paraId="000002D3">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sz w:val="13"/>
                <w:szCs w:val="13"/>
                <w:rtl w:val="0"/>
              </w:rPr>
              <w:t xml:space="preserve">Entidad responsable </w:t>
            </w:r>
          </w:p>
        </w:tc>
        <w:tc>
          <w:tcPr>
            <w:vAlign w:val="center"/>
          </w:tcPr>
          <w:p w:rsidR="00000000" w:rsidDel="00000000" w:rsidP="00000000" w:rsidRDefault="00000000" w:rsidRPr="00000000" w14:paraId="000002D4">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color w:val="a5a5a5"/>
                <w:sz w:val="13"/>
                <w:szCs w:val="13"/>
                <w:rtl w:val="0"/>
              </w:rPr>
              <w:t xml:space="preserve">Visto bueno: Entidad proyectada para la implementación</w:t>
            </w:r>
            <w:r w:rsidDel="00000000" w:rsidR="00000000" w:rsidRPr="00000000">
              <w:rPr>
                <w:rtl w:val="0"/>
              </w:rPr>
            </w:r>
          </w:p>
        </w:tc>
      </w:tr>
    </w:tbl>
    <w:p w:rsidR="00000000" w:rsidDel="00000000" w:rsidP="00000000" w:rsidRDefault="00000000" w:rsidRPr="00000000" w14:paraId="000002D5">
      <w:pPr>
        <w:rPr>
          <w:rFonts w:ascii="Times New Roman" w:cs="Times New Roman" w:eastAsia="Times New Roman" w:hAnsi="Times New Roman"/>
          <w:sz w:val="13"/>
          <w:szCs w:val="13"/>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24659B"/>
    <w:pPr>
      <w:tabs>
        <w:tab w:val="center" w:pos="4419"/>
        <w:tab w:val="right" w:pos="8838"/>
      </w:tabs>
    </w:pPr>
  </w:style>
  <w:style w:type="character" w:styleId="EncabezadoCar" w:customStyle="1">
    <w:name w:val="Encabezado Car"/>
    <w:basedOn w:val="Fuentedeprrafopredeter"/>
    <w:link w:val="Encabezado"/>
    <w:uiPriority w:val="99"/>
    <w:rsid w:val="0024659B"/>
  </w:style>
  <w:style w:type="paragraph" w:styleId="Piedepgina">
    <w:name w:val="footer"/>
    <w:basedOn w:val="Normal"/>
    <w:link w:val="PiedepginaCar"/>
    <w:uiPriority w:val="99"/>
    <w:unhideWhenUsed w:val="1"/>
    <w:rsid w:val="0024659B"/>
    <w:pPr>
      <w:tabs>
        <w:tab w:val="center" w:pos="4419"/>
        <w:tab w:val="right" w:pos="8838"/>
      </w:tabs>
    </w:pPr>
  </w:style>
  <w:style w:type="character" w:styleId="PiedepginaCar" w:customStyle="1">
    <w:name w:val="Pie de página Car"/>
    <w:basedOn w:val="Fuentedeprrafopredeter"/>
    <w:link w:val="Piedepgina"/>
    <w:uiPriority w:val="99"/>
    <w:rsid w:val="0024659B"/>
  </w:style>
  <w:style w:type="character" w:styleId="Refdecomentario">
    <w:name w:val="annotation reference"/>
    <w:basedOn w:val="Fuentedeprrafopredeter"/>
    <w:uiPriority w:val="99"/>
    <w:semiHidden w:val="1"/>
    <w:unhideWhenUsed w:val="1"/>
    <w:rsid w:val="006E1195"/>
    <w:rPr>
      <w:sz w:val="16"/>
      <w:szCs w:val="16"/>
    </w:rPr>
  </w:style>
  <w:style w:type="paragraph" w:styleId="Textocomentario">
    <w:name w:val="annotation text"/>
    <w:basedOn w:val="Normal"/>
    <w:link w:val="TextocomentarioCar"/>
    <w:uiPriority w:val="99"/>
    <w:semiHidden w:val="1"/>
    <w:unhideWhenUsed w:val="1"/>
    <w:rsid w:val="006E1195"/>
    <w:rPr>
      <w:sz w:val="20"/>
      <w:szCs w:val="20"/>
    </w:rPr>
  </w:style>
  <w:style w:type="character" w:styleId="TextocomentarioCar" w:customStyle="1">
    <w:name w:val="Texto comentario Car"/>
    <w:basedOn w:val="Fuentedeprrafopredeter"/>
    <w:link w:val="Textocomentario"/>
    <w:uiPriority w:val="99"/>
    <w:semiHidden w:val="1"/>
    <w:rsid w:val="006E1195"/>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E1195"/>
    <w:rPr>
      <w:b w:val="1"/>
      <w:bCs w:val="1"/>
    </w:rPr>
  </w:style>
  <w:style w:type="character" w:styleId="AsuntodelcomentarioCar" w:customStyle="1">
    <w:name w:val="Asunto del comentario Car"/>
    <w:basedOn w:val="TextocomentarioCar"/>
    <w:link w:val="Asuntodelcomentario"/>
    <w:uiPriority w:val="99"/>
    <w:semiHidden w:val="1"/>
    <w:rsid w:val="006E1195"/>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IvZZ7P79RdjHjyaDIusX1J8Fg==">CgMxLjA4AHIhMVpjRFhCaWFiaEN1TS1Ra1ZmM2IwcGxSdEltYmx2bE5r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2025-08-13T14:32:00Z</dcterms:created>
  <dc:creator>Fernando Montero Polo</dc:creator>
</cp:coreProperties>
</file>