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0"/>
          <w:szCs w:val="20"/>
        </w:rPr>
      </w:pPr>
      <w:r w:rsidDel="00000000" w:rsidR="00000000" w:rsidRPr="00000000">
        <w:rPr>
          <w:rtl w:val="0"/>
        </w:rPr>
      </w:r>
    </w:p>
    <w:tbl>
      <w:tblPr>
        <w:tblStyle w:val="Table1"/>
        <w:tblW w:w="10952.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225"/>
        <w:gridCol w:w="75"/>
        <w:gridCol w:w="75"/>
        <w:gridCol w:w="277"/>
        <w:gridCol w:w="528"/>
        <w:gridCol w:w="369"/>
        <w:gridCol w:w="460"/>
        <w:gridCol w:w="872"/>
        <w:gridCol w:w="399"/>
        <w:gridCol w:w="358"/>
        <w:gridCol w:w="1243"/>
        <w:gridCol w:w="210"/>
        <w:gridCol w:w="15"/>
        <w:gridCol w:w="743"/>
        <w:gridCol w:w="8"/>
        <w:gridCol w:w="134"/>
        <w:gridCol w:w="244"/>
        <w:gridCol w:w="702"/>
        <w:gridCol w:w="26"/>
        <w:gridCol w:w="1028"/>
        <w:gridCol w:w="326"/>
        <w:gridCol w:w="1127"/>
        <w:tblGridChange w:id="0">
          <w:tblGrid>
            <w:gridCol w:w="1509"/>
            <w:gridCol w:w="225"/>
            <w:gridCol w:w="75"/>
            <w:gridCol w:w="75"/>
            <w:gridCol w:w="277"/>
            <w:gridCol w:w="528"/>
            <w:gridCol w:w="369"/>
            <w:gridCol w:w="460"/>
            <w:gridCol w:w="872"/>
            <w:gridCol w:w="399"/>
            <w:gridCol w:w="358"/>
            <w:gridCol w:w="1243"/>
            <w:gridCol w:w="210"/>
            <w:gridCol w:w="15"/>
            <w:gridCol w:w="743"/>
            <w:gridCol w:w="8"/>
            <w:gridCol w:w="134"/>
            <w:gridCol w:w="244"/>
            <w:gridCol w:w="702"/>
            <w:gridCol w:w="26"/>
            <w:gridCol w:w="1028"/>
            <w:gridCol w:w="326"/>
            <w:gridCol w:w="1127"/>
          </w:tblGrid>
        </w:tblGridChange>
      </w:tblGrid>
      <w:tr>
        <w:trPr>
          <w:cantSplit w:val="0"/>
          <w:trHeight w:val="133" w:hRule="atLeast"/>
          <w:tblHeader w:val="1"/>
        </w:trPr>
        <w:tc>
          <w:tcPr>
            <w:gridSpan w:val="2"/>
            <w:vAlign w:val="cente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Versión 2</w:t>
            </w:r>
          </w:p>
        </w:tc>
        <w:tc>
          <w:tcPr>
            <w:gridSpan w:val="4"/>
            <w:vAlign w:val="center"/>
          </w:tcPr>
          <w:p w:rsidR="00000000" w:rsidDel="00000000" w:rsidP="00000000" w:rsidRDefault="00000000" w:rsidRPr="00000000" w14:paraId="0000000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P 1.5.4</w:t>
            </w:r>
            <w:r w:rsidDel="00000000" w:rsidR="00000000" w:rsidRPr="00000000">
              <w:rPr>
                <w:rtl w:val="0"/>
              </w:rPr>
            </w:r>
          </w:p>
        </w:tc>
      </w:tr>
      <w:tr>
        <w:trPr>
          <w:cantSplit w:val="0"/>
          <w:trHeight w:val="562" w:hRule="atLeast"/>
          <w:tblHeader w:val="0"/>
        </w:trPr>
        <w:tc>
          <w:tcPr>
            <w:gridSpan w:val="15"/>
            <w:vAlign w:val="center"/>
          </w:tcPr>
          <w:p w:rsidR="00000000" w:rsidDel="00000000" w:rsidP="00000000" w:rsidRDefault="00000000" w:rsidRPr="00000000" w14:paraId="0000000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ALCALDÍA MAYOR DE CARTAGENA DE INDIAS</w:t>
            </w:r>
          </w:p>
          <w:p w:rsidR="00000000" w:rsidDel="00000000" w:rsidP="00000000" w:rsidRDefault="00000000" w:rsidRPr="00000000" w14:paraId="0000000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CONSEJO DE POLÍTICA ECONÓMICA Y SOCIAL DEL DISTRITO DE CARTAGENA DE INDIAS. CONPES D. T. y C.</w:t>
            </w:r>
          </w:p>
          <w:p w:rsidR="00000000" w:rsidDel="00000000" w:rsidP="00000000" w:rsidRDefault="00000000" w:rsidRPr="00000000" w14:paraId="0000000A">
            <w:pPr>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Secretaría Distrital de Planeación </w:t>
            </w:r>
          </w:p>
        </w:tc>
        <w:tc>
          <w:tcPr>
            <w:gridSpan w:val="8"/>
            <w:vAlign w:val="center"/>
          </w:tcPr>
          <w:p w:rsidR="00000000" w:rsidDel="00000000" w:rsidP="00000000" w:rsidRDefault="00000000" w:rsidRPr="00000000" w14:paraId="0000001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Pr>
              <w:drawing>
                <wp:inline distB="0" distT="0" distL="0" distR="0">
                  <wp:extent cx="1298187" cy="368734"/>
                  <wp:effectExtent b="0" l="0" r="0" t="0"/>
                  <wp:docPr descr="Interfaz de usuario gráfica, Aplicación&#10;&#10;Descripción generada automáticamente" id="2" name="image1.png"/>
                  <a:graphic>
                    <a:graphicData uri="http://schemas.openxmlformats.org/drawingml/2006/picture">
                      <pic:pic>
                        <pic:nvPicPr>
                          <pic:cNvPr descr="Interfaz de usuario gráfica, Aplicación&#10;&#10;Descripción generada automáticamente" id="0" name="image1.png"/>
                          <pic:cNvPicPr preferRelativeResize="0"/>
                        </pic:nvPicPr>
                        <pic:blipFill>
                          <a:blip r:embed="rId7"/>
                          <a:srcRect b="34287" l="15642" r="14937" t="33518"/>
                          <a:stretch>
                            <a:fillRect/>
                          </a:stretch>
                        </pic:blipFill>
                        <pic:spPr>
                          <a:xfrm>
                            <a:off x="0" y="0"/>
                            <a:ext cx="1298187" cy="368734"/>
                          </a:xfrm>
                          <a:prstGeom prst="rect"/>
                          <a:ln/>
                        </pic:spPr>
                      </pic:pic>
                    </a:graphicData>
                  </a:graphic>
                </wp:inline>
              </w:drawing>
            </w:r>
            <w:r w:rsidDel="00000000" w:rsidR="00000000" w:rsidRPr="00000000">
              <w:rPr>
                <w:rtl w:val="0"/>
              </w:rPr>
            </w:r>
          </w:p>
        </w:tc>
      </w:tr>
      <w:tr>
        <w:trPr>
          <w:cantSplit w:val="0"/>
          <w:tblHeader w:val="0"/>
        </w:trPr>
        <w:tc>
          <w:tcPr>
            <w:gridSpan w:val="8"/>
            <w:vAlign w:val="center"/>
          </w:tcPr>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coordinadora de Política Pública </w:t>
            </w:r>
          </w:p>
        </w:tc>
        <w:tc>
          <w:tcPr>
            <w:gridSpan w:val="15"/>
            <w:vAlign w:val="center"/>
          </w:tcPr>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Instituto de Patrimonio y Cultura de Cartagena - IPCC</w:t>
            </w:r>
          </w:p>
        </w:tc>
      </w:tr>
      <w:tr>
        <w:trPr>
          <w:cantSplit w:val="0"/>
          <w:tblHeader w:val="0"/>
        </w:trPr>
        <w:tc>
          <w:tcPr>
            <w:vAlign w:val="center"/>
          </w:tcPr>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Política Pública</w:t>
            </w:r>
          </w:p>
        </w:tc>
        <w:tc>
          <w:tcPr>
            <w:gridSpan w:val="10"/>
            <w:vAlign w:val="center"/>
          </w:tcPr>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Distrital de Bibliotecas, Lectura, Escritura y Oralidad</w:t>
            </w:r>
          </w:p>
        </w:tc>
        <w:tc>
          <w:tcPr>
            <w:gridSpan w:val="5"/>
            <w:vAlign w:val="center"/>
          </w:tcPr>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Documento CONPES</w:t>
            </w:r>
          </w:p>
        </w:tc>
        <w:tc>
          <w:tcPr>
            <w:gridSpan w:val="7"/>
            <w:vAlign w:val="center"/>
          </w:tcPr>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3"/>
            <w:vAlign w:val="center"/>
          </w:tcPr>
          <w:p w:rsidR="00000000" w:rsidDel="00000000" w:rsidP="00000000" w:rsidRDefault="00000000" w:rsidRPr="00000000" w14:paraId="0000004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HOJA DE VIDA: PRODUCTO DE POLÍTICA PÚBLICA</w:t>
            </w:r>
          </w:p>
        </w:tc>
      </w:tr>
      <w:tr>
        <w:trPr>
          <w:cantSplit w:val="0"/>
          <w:tblHeader w:val="0"/>
        </w:trPr>
        <w:tc>
          <w:tcPr>
            <w:gridSpan w:val="23"/>
            <w:vAlign w:val="center"/>
          </w:tcPr>
          <w:p w:rsidR="00000000" w:rsidDel="00000000" w:rsidP="00000000" w:rsidRDefault="00000000" w:rsidRPr="00000000" w14:paraId="0000006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DATOS GENERALES </w:t>
            </w:r>
          </w:p>
        </w:tc>
      </w:tr>
      <w:tr>
        <w:trPr>
          <w:cantSplit w:val="0"/>
          <w:trHeight w:val="58" w:hRule="atLeast"/>
          <w:tblHeader w:val="0"/>
        </w:trPr>
        <w:tc>
          <w:tcPr>
            <w:gridSpan w:val="3"/>
            <w:vAlign w:val="center"/>
          </w:tcPr>
          <w:p w:rsidR="00000000" w:rsidDel="00000000" w:rsidP="00000000" w:rsidRDefault="00000000" w:rsidRPr="00000000" w14:paraId="000000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encargada de implementación</w:t>
            </w:r>
          </w:p>
        </w:tc>
        <w:tc>
          <w:tcPr>
            <w:gridSpan w:val="16"/>
            <w:vAlign w:val="center"/>
          </w:tcPr>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responsable: </w:t>
            </w:r>
            <w:r w:rsidDel="00000000" w:rsidR="00000000" w:rsidRPr="00000000">
              <w:rPr>
                <w:rFonts w:ascii="Times New Roman" w:cs="Times New Roman" w:eastAsia="Times New Roman" w:hAnsi="Times New Roman"/>
                <w:sz w:val="20"/>
                <w:szCs w:val="20"/>
                <w:rtl w:val="0"/>
              </w:rPr>
              <w:t xml:space="preserve">IPCC</w:t>
            </w:r>
            <w:r w:rsidDel="00000000" w:rsidR="00000000" w:rsidRPr="00000000">
              <w:rPr>
                <w:rtl w:val="0"/>
              </w:rPr>
            </w:r>
          </w:p>
        </w:tc>
        <w:tc>
          <w:tcPr>
            <w:gridSpan w:val="3"/>
            <w:vAlign w:val="center"/>
          </w:tcPr>
          <w:p w:rsidR="00000000" w:rsidDel="00000000" w:rsidP="00000000" w:rsidRDefault="00000000" w:rsidRPr="00000000" w14:paraId="000000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entidad</w:t>
            </w:r>
          </w:p>
        </w:tc>
        <w:tc>
          <w:tcPr>
            <w:vAlign w:val="center"/>
          </w:tcPr>
          <w:p w:rsidR="00000000" w:rsidDel="00000000" w:rsidP="00000000" w:rsidRDefault="00000000" w:rsidRPr="00000000" w14:paraId="0000009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01</w:t>
            </w:r>
          </w:p>
        </w:tc>
      </w:tr>
      <w:tr>
        <w:trPr>
          <w:cantSplit w:val="0"/>
          <w:trHeight w:val="182" w:hRule="atLeast"/>
          <w:tblHeader w:val="0"/>
        </w:trPr>
        <w:tc>
          <w:tcPr>
            <w:gridSpan w:val="3"/>
            <w:vAlign w:val="center"/>
          </w:tcPr>
          <w:p w:rsidR="00000000" w:rsidDel="00000000" w:rsidP="00000000" w:rsidRDefault="00000000" w:rsidRPr="00000000" w14:paraId="000000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específico asociado</w:t>
            </w:r>
          </w:p>
        </w:tc>
        <w:tc>
          <w:tcPr>
            <w:gridSpan w:val="16"/>
            <w:vAlign w:val="center"/>
          </w:tcPr>
          <w:p w:rsidR="00000000" w:rsidDel="00000000" w:rsidP="00000000" w:rsidRDefault="00000000" w:rsidRPr="00000000" w14:paraId="0000009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Ampliar la oferta de servicios de las bibliotecas distritales con capital humano idóneo, en espacios inclusivos, descentralizados y participativos.</w:t>
            </w:r>
          </w:p>
        </w:tc>
        <w:tc>
          <w:tcPr>
            <w:gridSpan w:val="3"/>
            <w:vAlign w:val="center"/>
          </w:tcPr>
          <w:p w:rsidR="00000000" w:rsidDel="00000000" w:rsidP="00000000" w:rsidRDefault="00000000" w:rsidRPr="00000000" w14:paraId="000000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objetivo</w:t>
            </w:r>
          </w:p>
        </w:tc>
        <w:tc>
          <w:tcPr>
            <w:vAlign w:val="center"/>
          </w:tcPr>
          <w:p w:rsidR="00000000" w:rsidDel="00000000" w:rsidP="00000000" w:rsidRDefault="00000000" w:rsidRPr="00000000" w14:paraId="000000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OE. 1</w:t>
            </w:r>
          </w:p>
        </w:tc>
      </w:tr>
      <w:tr>
        <w:trPr>
          <w:cantSplit w:val="0"/>
          <w:trHeight w:val="182" w:hRule="atLeast"/>
          <w:tblHeader w:val="0"/>
        </w:trPr>
        <w:tc>
          <w:tcPr>
            <w:gridSpan w:val="3"/>
            <w:vAlign w:val="center"/>
          </w:tcPr>
          <w:p w:rsidR="00000000" w:rsidDel="00000000" w:rsidP="00000000" w:rsidRDefault="00000000" w:rsidRPr="00000000" w14:paraId="000000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de resultado a la (s) que el producto aporta mediante su implementación.</w:t>
            </w:r>
          </w:p>
        </w:tc>
        <w:tc>
          <w:tcPr>
            <w:gridSpan w:val="20"/>
            <w:vAlign w:val="center"/>
          </w:tcPr>
          <w:p w:rsidR="00000000" w:rsidDel="00000000" w:rsidP="00000000" w:rsidRDefault="00000000" w:rsidRPr="00000000" w14:paraId="000000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Aumento de la participación en espacios de lectura, escritura y oralidad en la Red Distrital de Bibliotecas Públicas</w:t>
            </w:r>
          </w:p>
        </w:tc>
      </w:tr>
      <w:tr>
        <w:trPr>
          <w:cantSplit w:val="0"/>
          <w:tblHeader w:val="0"/>
        </w:trPr>
        <w:tc>
          <w:tcPr>
            <w:gridSpan w:val="3"/>
            <w:vAlign w:val="center"/>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Componente - Eje</w:t>
            </w:r>
          </w:p>
        </w:tc>
        <w:tc>
          <w:tcPr>
            <w:gridSpan w:val="6"/>
            <w:vAlign w:val="center"/>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Organizacional e Infraestructura</w:t>
            </w:r>
          </w:p>
        </w:tc>
        <w:tc>
          <w:tcPr>
            <w:gridSpan w:val="3"/>
            <w:vAlign w:val="center"/>
          </w:tcPr>
          <w:p w:rsidR="00000000" w:rsidDel="00000000" w:rsidP="00000000" w:rsidRDefault="00000000" w:rsidRPr="00000000" w14:paraId="000000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de acción</w:t>
            </w:r>
          </w:p>
        </w:tc>
        <w:tc>
          <w:tcPr>
            <w:gridSpan w:val="11"/>
            <w:vAlign w:val="center"/>
          </w:tcPr>
          <w:p w:rsidR="00000000" w:rsidDel="00000000" w:rsidP="00000000" w:rsidRDefault="00000000" w:rsidRPr="00000000" w14:paraId="000000C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Promoción de la lectura, la escritura y la oralidad </w:t>
            </w:r>
          </w:p>
        </w:tc>
      </w:tr>
      <w:tr>
        <w:trPr>
          <w:cantSplit w:val="0"/>
          <w:tblHeader w:val="0"/>
        </w:trPr>
        <w:tc>
          <w:tcPr>
            <w:gridSpan w:val="3"/>
            <w:vAlign w:val="center"/>
          </w:tcPr>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producto</w:t>
            </w:r>
          </w:p>
        </w:tc>
        <w:tc>
          <w:tcPr>
            <w:gridSpan w:val="6"/>
            <w:vAlign w:val="center"/>
          </w:tcPr>
          <w:p w:rsidR="00000000" w:rsidDel="00000000" w:rsidP="00000000" w:rsidRDefault="00000000" w:rsidRPr="00000000" w14:paraId="000000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p>
        </w:tc>
        <w:tc>
          <w:tcPr>
            <w:gridSpan w:val="3"/>
            <w:vAlign w:val="center"/>
          </w:tcPr>
          <w:p w:rsidR="00000000" w:rsidDel="00000000" w:rsidP="00000000" w:rsidRDefault="00000000" w:rsidRPr="00000000" w14:paraId="000000E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producto</w:t>
            </w:r>
          </w:p>
        </w:tc>
        <w:tc>
          <w:tcPr>
            <w:gridSpan w:val="11"/>
            <w:vAlign w:val="center"/>
          </w:tcPr>
          <w:p w:rsidR="00000000" w:rsidDel="00000000" w:rsidP="00000000" w:rsidRDefault="00000000" w:rsidRPr="00000000" w14:paraId="000000E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Estrategia de fortalecimiento de convocatorias de estímulos a la creación literaria en formatos innovadores e inclusivos.</w:t>
            </w:r>
          </w:p>
        </w:tc>
      </w:tr>
      <w:tr>
        <w:trPr>
          <w:cantSplit w:val="0"/>
          <w:tblHeader w:val="0"/>
        </w:trPr>
        <w:tc>
          <w:tcPr>
            <w:gridSpan w:val="3"/>
            <w:vAlign w:val="center"/>
          </w:tcPr>
          <w:p w:rsidR="00000000" w:rsidDel="00000000" w:rsidP="00000000" w:rsidRDefault="00000000" w:rsidRPr="00000000" w14:paraId="000000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Población objetivo del producto</w:t>
            </w:r>
          </w:p>
        </w:tc>
        <w:tc>
          <w:tcPr>
            <w:gridSpan w:val="20"/>
            <w:vAlign w:val="center"/>
          </w:tcPr>
          <w:p w:rsidR="00000000" w:rsidDel="00000000" w:rsidP="00000000" w:rsidRDefault="00000000" w:rsidRPr="00000000" w14:paraId="000000F3">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Usuarios de la Red Distrital de Bibliotecas Públicas y comunidad en general</w:t>
            </w:r>
            <w:r w:rsidDel="00000000" w:rsidR="00000000" w:rsidRPr="00000000">
              <w:rPr>
                <w:rtl w:val="0"/>
              </w:rPr>
            </w:r>
          </w:p>
        </w:tc>
      </w:tr>
      <w:tr>
        <w:trPr>
          <w:cantSplit w:val="0"/>
          <w:trHeight w:val="288" w:hRule="atLeast"/>
          <w:tblHeader w:val="0"/>
        </w:trPr>
        <w:tc>
          <w:tcPr>
            <w:gridSpan w:val="3"/>
            <w:vAlign w:val="center"/>
          </w:tcPr>
          <w:p w:rsidR="00000000" w:rsidDel="00000000" w:rsidP="00000000" w:rsidRDefault="00000000" w:rsidRPr="00000000" w14:paraId="000001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Relación con el Plan de Desarrollo Distrital -PDD</w:t>
            </w:r>
          </w:p>
        </w:tc>
        <w:tc>
          <w:tcPr>
            <w:gridSpan w:val="4"/>
            <w:vAlign w:val="center"/>
          </w:tcPr>
          <w:p w:rsidR="00000000" w:rsidDel="00000000" w:rsidP="00000000" w:rsidRDefault="00000000" w:rsidRPr="00000000" w14:paraId="000001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10B">
            <w:pPr>
              <w:rPr>
                <w:rFonts w:ascii="Times New Roman" w:cs="Times New Roman" w:eastAsia="Times New Roman" w:hAnsi="Times New Roman"/>
                <w:i w:val="1"/>
                <w:iCs w:val="1"/>
                <w:sz w:val="20"/>
                <w:szCs w:val="20"/>
              </w:rPr>
            </w:pPr>
            <w:r w:rsidDel="00000000" w:rsidR="00000000" w:rsidRPr="00000000">
              <w:rPr>
                <w:rtl w:val="0"/>
              </w:rPr>
            </w:r>
          </w:p>
        </w:tc>
        <w:tc>
          <w:tcPr>
            <w:gridSpan w:val="2"/>
            <w:vAlign w:val="center"/>
          </w:tcPr>
          <w:p w:rsidR="00000000" w:rsidDel="00000000" w:rsidP="00000000" w:rsidRDefault="00000000" w:rsidRPr="00000000" w14:paraId="000001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Pilar, Objetivo o Eje del PDD</w:t>
            </w:r>
          </w:p>
        </w:tc>
        <w:tc>
          <w:tcPr>
            <w:gridSpan w:val="7"/>
            <w:vAlign w:val="center"/>
          </w:tcPr>
          <w:p w:rsidR="00000000" w:rsidDel="00000000" w:rsidP="00000000" w:rsidRDefault="00000000" w:rsidRPr="00000000" w14:paraId="000001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gridSpan w:val="4"/>
            <w:vAlign w:val="center"/>
          </w:tcPr>
          <w:p w:rsidR="00000000" w:rsidDel="00000000" w:rsidP="00000000" w:rsidRDefault="00000000" w:rsidRPr="00000000" w14:paraId="000001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Programa del PDD</w:t>
            </w:r>
          </w:p>
        </w:tc>
        <w:tc>
          <w:tcPr>
            <w:gridSpan w:val="3"/>
            <w:vAlign w:val="center"/>
          </w:tcPr>
          <w:p w:rsidR="00000000" w:rsidDel="00000000" w:rsidP="00000000" w:rsidRDefault="00000000" w:rsidRPr="00000000" w14:paraId="000001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150" w:hRule="atLeast"/>
          <w:tblHeader w:val="0"/>
        </w:trPr>
        <w:tc>
          <w:tcPr>
            <w:gridSpan w:val="23"/>
            <w:vAlign w:val="center"/>
          </w:tcPr>
          <w:p w:rsidR="00000000" w:rsidDel="00000000" w:rsidP="00000000" w:rsidRDefault="00000000" w:rsidRPr="00000000" w14:paraId="0000011F">
            <w:pP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150" w:hRule="atLeast"/>
          <w:tblHeader w:val="0"/>
        </w:trPr>
        <w:tc>
          <w:tcPr>
            <w:gridSpan w:val="23"/>
            <w:vAlign w:val="center"/>
          </w:tcPr>
          <w:p w:rsidR="00000000" w:rsidDel="00000000" w:rsidP="00000000" w:rsidRDefault="00000000" w:rsidRPr="00000000" w14:paraId="0000013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INFORMACIÓN DEL PRODUCTO</w:t>
            </w:r>
          </w:p>
        </w:tc>
      </w:tr>
      <w:tr>
        <w:trPr>
          <w:cantSplit w:val="0"/>
          <w:trHeight w:val="1075" w:hRule="atLeast"/>
          <w:tblHeader w:val="0"/>
        </w:trPr>
        <w:tc>
          <w:tcPr>
            <w:gridSpan w:val="4"/>
            <w:vAlign w:val="center"/>
          </w:tcPr>
          <w:p w:rsidR="00000000" w:rsidDel="00000000" w:rsidP="00000000" w:rsidRDefault="00000000" w:rsidRPr="00000000" w14:paraId="000001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Descripción</w:t>
            </w:r>
          </w:p>
        </w:tc>
        <w:tc>
          <w:tcPr>
            <w:gridSpan w:val="19"/>
            <w:vAlign w:val="center"/>
          </w:tcPr>
          <w:p w:rsidR="00000000" w:rsidDel="00000000" w:rsidP="00000000" w:rsidRDefault="00000000" w:rsidRPr="00000000" w14:paraId="00000151">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Justificación de la competencia: </w:t>
            </w:r>
            <w:r w:rsidDel="00000000" w:rsidR="00000000" w:rsidRPr="00000000">
              <w:rPr>
                <w:rFonts w:ascii="Times New Roman" w:cs="Times New Roman" w:eastAsia="Times New Roman" w:hAnsi="Times New Roman"/>
                <w:sz w:val="20"/>
                <w:szCs w:val="20"/>
                <w:rtl w:val="0"/>
              </w:rPr>
              <w:t xml:space="preserve">de  acuerdo con el Plan Estratégico y de Comunicaciones 2022-2030 elaborado por la Red Distrital de Bibliotecas Públicas (2021) “La Red, además, beneficia a la comunidad desde los diferentes programas y proyectos de fortalecimiento de las bibliotecas públicas, de acuerdo con los lineamientos establecidos en la Ley General de Bibliotecas, para así brindar cada día más y mejores servicios, y actividades a la comunidad usuaria, con el objetivo, de fortalecer los procesos de hábitos lectores(...)” a pesar de la evidente trayectoria en beneficio de la sostenibilidad del trabajo de la RDBP, las debilidades institucionales y la falta de gobernabilidad han dificultado la consecución de dichas metas. Entre los años 2012 y 2019 se presentó una crisis política en la ciudad que afectó a la red e impidió la continuidad de sus procesos, lo cual se vio reflejado en la vinculación de la población y en el sentido de pertenencia de la ciudadanía respecto a las bibliotecas. </w:t>
            </w: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particular, el artículo 87 dice que 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(p. 15).Una entidad corresponsable de este producto es la Red Distrital de Bibliotecas Públicas, al ser la encargada de brindar apoyo técnico a las bibliotecas públicas de la ciudad, realizando la gestión organizacional y la coordinación de los procesos, programas y proyectos llevados a cabo en ellas. </w:t>
            </w:r>
          </w:p>
          <w:p w:rsidR="00000000" w:rsidDel="00000000" w:rsidP="00000000" w:rsidRDefault="00000000" w:rsidRPr="00000000" w14:paraId="0000015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Descripción de la relación causal del problema: </w:t>
            </w:r>
            <w:r w:rsidDel="00000000" w:rsidR="00000000" w:rsidRPr="00000000">
              <w:rPr>
                <w:rFonts w:ascii="Times New Roman" w:cs="Times New Roman" w:eastAsia="Times New Roman" w:hAnsi="Times New Roman"/>
                <w:sz w:val="20"/>
                <w:szCs w:val="20"/>
                <w:rtl w:val="0"/>
              </w:rPr>
              <w:t xml:space="preserve">Este producto está relacionado con el (PC13) “Acciones insuficientes para consolidar una agenda permanente de actividades en la red de bibliotecas” debido a que la estrategia de fortalecimiento de convocatorias de estímulos a la creación literaria en formatos innovadores e inclusivos es necesaria debido a que promueve la diversidad y la inclusión al abrir oportunidades para voces y perspectivas que podrían estar poco representadas en el ámbito literario tradicional. Al fomentar formatos innovadores, como la literatura experimental, digital o colaborativa, se amplía el espectro de expresión literaria, permitiendo que una gama más amplia de creadores participe y contribuya. Esta estrategia estimula la creatividad y la exploración artística al desafiar las convenciones establecidas. La inclusión de formatos innovadores impulsa a los escritores a experimentar con nuevas formas de contar historias, utilizar tecnologías emergentes o explorar enfoques no convencionales, enriqueciendo así la diversidad estilística y temática en la literatura contemporánea.  Además, al fortalecer las convocatorias de estímulos, se brinda apoyo tangible a los escritores, fomentando la producción literaria en un mundo donde la creatividad y la expresión cultural son esenciales. Esto puede tener un impacto positivo tanto en los escritores emergentes como en aquellos establecidos, proporcionando incentivos y reconocimiento para la experimentación y la innovación. Asimismo, contribuye a la vitalidad de la comunidad literaria al adaptarse a las cambiantes dinámicas culturales y tecnológicas. Así, facilita la conexión entre escritores y lectores al ofrecer obras literarias que reflejan la complejidad y diversidad del mundo contemporáneo, promoviendo así la relevancia continua de la literatura en la sociedad.. </w:t>
            </w:r>
            <w:r w:rsidDel="00000000" w:rsidR="00000000" w:rsidRPr="00000000">
              <w:rPr>
                <w:rtl w:val="0"/>
              </w:rPr>
            </w:r>
          </w:p>
          <w:p w:rsidR="00000000" w:rsidDel="00000000" w:rsidP="00000000" w:rsidRDefault="00000000" w:rsidRPr="00000000" w14:paraId="00000156">
            <w:pPr>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Importancia comunitaria del punto crítico: </w:t>
            </w:r>
            <w:r w:rsidDel="00000000" w:rsidR="00000000" w:rsidRPr="00000000">
              <w:rPr>
                <w:rFonts w:ascii="Times New Roman" w:cs="Times New Roman" w:eastAsia="Times New Roman" w:hAnsi="Times New Roman"/>
                <w:sz w:val="20"/>
                <w:szCs w:val="20"/>
                <w:rtl w:val="0"/>
              </w:rPr>
              <w:t xml:space="preserve">es esencial implementar una estrategia de fortalecimiento en las convocatorias de estímulos a la creación literaria en formatos innovadores e inclusivos para enriquecer la comunidad. Estas convocatorias amplían la representación de voces culturales diversas, fomentan la creatividad y brindan oportunidades a escritores emergentes, fortaleciendo así la riqueza y pluralidad de la producción literaria. Al adaptarse a los cambios culturales y tecnológicos, estas estrategias mantienen la relevancia de la literatura en la sociedad contemporánea. Además, al estimular la conexión entre escritores y lectores, contribuyen a la construcción de una comunidad literaria vibrante y dinámica que refleja y enriquece la diversidad y complejidad del mundo actual.  </w:t>
            </w:r>
            <w:r w:rsidDel="00000000" w:rsidR="00000000" w:rsidRPr="00000000">
              <w:rPr>
                <w:rFonts w:ascii="Times New Roman" w:cs="Times New Roman" w:eastAsia="Times New Roman" w:hAnsi="Times New Roman"/>
                <w:sz w:val="20"/>
                <w:szCs w:val="20"/>
                <w:rtl w:val="0"/>
              </w:rPr>
              <w:t xml:space="preserve">Situación que fue manifestada de manera recurrente por parte los asistentes a las Mesas de Concertación y Validación, donde, al priorizar factores estratégicos, se le valoró el (PC13) con una puntuación de 5 en la escala de Likert (1 es “nada relevante” y 5 “muy relevante”).</w:t>
            </w:r>
            <w:r w:rsidDel="00000000" w:rsidR="00000000" w:rsidRPr="00000000">
              <w:rPr>
                <w:rtl w:val="0"/>
              </w:rPr>
            </w:r>
          </w:p>
          <w:p w:rsidR="00000000" w:rsidDel="00000000" w:rsidP="00000000" w:rsidRDefault="00000000" w:rsidRPr="00000000" w14:paraId="00000158">
            <w:pPr>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Elección del número de vigencias proyectadas para la implementación de producto: </w:t>
            </w:r>
            <w:r w:rsidDel="00000000" w:rsidR="00000000" w:rsidRPr="00000000">
              <w:rPr>
                <w:rFonts w:ascii="Times New Roman" w:cs="Times New Roman" w:eastAsia="Times New Roman" w:hAnsi="Times New Roman"/>
                <w:sz w:val="20"/>
                <w:szCs w:val="20"/>
                <w:rtl w:val="0"/>
              </w:rPr>
              <w:t xml:space="preserve">La proyección de 12 convocatorias de estímulos a la creación literaria, a razón de una por cada año de vigencia del Plan Distrital, se establece para garantizar un proceso continuo y sostenido que fortalezca la participación ciudadana en prácticas de lectura, escritura y oralidad dentro de la Red Distrital de Bibliotecas Públicas. La periodicidad anual permite que cada convocatoria responda a las necesidades cambiantes de los públicos, favorezca la innovación en los formatos de creación y asegure la inclusión de diversos grupos poblacionales. Es decir, contribuye a ampliar progresivamente la participación, consolidar procesos formativos y creativos, y garantizar que los estímulos literarios se conviertan en una estrategia permanente para dinamizar la vida cultural del distrito.</w:t>
            </w:r>
          </w:p>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6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Indicador del producto</w:t>
            </w:r>
          </w:p>
        </w:tc>
        <w:tc>
          <w:tcPr>
            <w:gridSpan w:val="17"/>
            <w:vAlign w:val="center"/>
          </w:tcPr>
          <w:p w:rsidR="00000000" w:rsidDel="00000000" w:rsidP="00000000" w:rsidRDefault="00000000" w:rsidRPr="00000000" w14:paraId="000001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Formula de Indicador: Número de convocatorias de estímulos a la creación literaria en formatos innovadores e inclusivos realizadas</w:t>
            </w:r>
          </w:p>
        </w:tc>
      </w:tr>
      <w:tr>
        <w:trPr>
          <w:cantSplit w:val="0"/>
          <w:trHeight w:val="208" w:hRule="atLeast"/>
          <w:tblHeader w:val="0"/>
        </w:trPr>
        <w:tc>
          <w:tcPr>
            <w:gridSpan w:val="6"/>
            <w:vAlign w:val="center"/>
          </w:tcPr>
          <w:p w:rsidR="00000000" w:rsidDel="00000000" w:rsidP="00000000" w:rsidRDefault="00000000" w:rsidRPr="00000000" w14:paraId="0000018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Fórmula de cálculo de los indicadores del producto</w:t>
            </w:r>
          </w:p>
        </w:tc>
        <w:tc>
          <w:tcPr>
            <w:gridSpan w:val="17"/>
            <w:vAlign w:val="center"/>
          </w:tcPr>
          <w:p w:rsidR="00000000" w:rsidDel="00000000" w:rsidP="00000000" w:rsidRDefault="00000000" w:rsidRPr="00000000" w14:paraId="0000018A">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Sumatoria del número de convocatorias de estímulos a la creación literaria en formatos innovadores e inclusivos realizadas</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9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base del producto</w:t>
            </w:r>
          </w:p>
        </w:tc>
        <w:tc>
          <w:tcPr>
            <w:gridSpan w:val="7"/>
            <w:vAlign w:val="center"/>
          </w:tcPr>
          <w:p w:rsidR="00000000" w:rsidDel="00000000" w:rsidP="00000000" w:rsidRDefault="00000000" w:rsidRPr="00000000" w14:paraId="000001A1">
            <w:pPr>
              <w:jc w:val="center"/>
              <w:rPr>
                <w:rFonts w:ascii="Times New Roman" w:cs="Times New Roman" w:eastAsia="Times New Roman" w:hAnsi="Times New Roman"/>
                <w:b w:val="1"/>
                <w:bCs w:val="1"/>
                <w:sz w:val="20"/>
                <w:szCs w:val="20"/>
                <w:vertAlign w:val="superscript"/>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gridSpan w:val="4"/>
            <w:vAlign w:val="center"/>
          </w:tcPr>
          <w:p w:rsidR="00000000" w:rsidDel="00000000" w:rsidP="00000000" w:rsidRDefault="00000000" w:rsidRPr="00000000" w14:paraId="000001A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Fecha de la LB</w:t>
            </w:r>
          </w:p>
        </w:tc>
        <w:tc>
          <w:tcPr>
            <w:gridSpan w:val="3"/>
            <w:vAlign w:val="center"/>
          </w:tcPr>
          <w:p w:rsidR="00000000" w:rsidDel="00000000" w:rsidP="00000000" w:rsidRDefault="00000000" w:rsidRPr="00000000" w14:paraId="000001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w:t>
            </w:r>
          </w:p>
        </w:tc>
        <w:tc>
          <w:tcPr>
            <w:vAlign w:val="center"/>
          </w:tcPr>
          <w:p w:rsidR="00000000" w:rsidDel="00000000" w:rsidP="00000000" w:rsidRDefault="00000000" w:rsidRPr="00000000" w14:paraId="000001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de la LB </w:t>
            </w:r>
          </w:p>
        </w:tc>
        <w:tc>
          <w:tcPr>
            <w:gridSpan w:val="2"/>
            <w:vAlign w:val="center"/>
          </w:tcPr>
          <w:p w:rsidR="00000000" w:rsidDel="00000000" w:rsidP="00000000" w:rsidRDefault="00000000" w:rsidRPr="00000000" w14:paraId="000001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IPCC</w:t>
            </w:r>
          </w:p>
        </w:tc>
      </w:tr>
      <w:tr>
        <w:trPr>
          <w:cantSplit w:val="0"/>
          <w:trHeight w:val="73" w:hRule="atLeast"/>
          <w:tblHeader w:val="0"/>
        </w:trPr>
        <w:tc>
          <w:tcPr>
            <w:gridSpan w:val="6"/>
            <w:vAlign w:val="center"/>
          </w:tcPr>
          <w:p w:rsidR="00000000" w:rsidDel="00000000" w:rsidP="00000000" w:rsidRDefault="00000000" w:rsidRPr="00000000" w14:paraId="000001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Producto esperado (meta total)</w:t>
            </w:r>
          </w:p>
        </w:tc>
        <w:tc>
          <w:tcPr>
            <w:gridSpan w:val="17"/>
            <w:vAlign w:val="center"/>
          </w:tcPr>
          <w:p w:rsidR="00000000" w:rsidDel="00000000" w:rsidP="00000000" w:rsidRDefault="00000000" w:rsidRPr="00000000" w14:paraId="000001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Meta total: 12 convocatorias de estímulos a la creación literaria en formatos innovadores e inclusivos realizadas.</w:t>
            </w: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Dichas convocatorias serán proyectados a creadores literarios  del Distrito bajo un enfoque diferencial e inclusivo para intercambio de experiencias</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C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Vigencias de implementación proyectadas</w:t>
            </w:r>
            <w:r w:rsidDel="00000000" w:rsidR="00000000" w:rsidRPr="00000000">
              <w:rPr>
                <w:rtl w:val="0"/>
              </w:rPr>
            </w:r>
          </w:p>
        </w:tc>
        <w:tc>
          <w:tcPr>
            <w:gridSpan w:val="5"/>
            <w:vAlign w:val="center"/>
          </w:tcPr>
          <w:p w:rsidR="00000000" w:rsidDel="00000000" w:rsidP="00000000" w:rsidRDefault="00000000" w:rsidRPr="00000000" w14:paraId="000001D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2026, 2027, 2028, 2029, 2030, 2031, 2032, 2033, 2034, 2035, 2036, 2037</w:t>
            </w:r>
            <w:r w:rsidDel="00000000" w:rsidR="00000000" w:rsidRPr="00000000">
              <w:rPr>
                <w:rtl w:val="0"/>
              </w:rPr>
            </w:r>
          </w:p>
        </w:tc>
        <w:tc>
          <w:tcPr>
            <w:vAlign w:val="center"/>
          </w:tcPr>
          <w:p w:rsidR="00000000" w:rsidDel="00000000" w:rsidP="00000000" w:rsidRDefault="00000000" w:rsidRPr="00000000" w14:paraId="000001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Códigos de vigencias</w:t>
            </w:r>
          </w:p>
        </w:tc>
        <w:tc>
          <w:tcPr>
            <w:gridSpan w:val="11"/>
            <w:vAlign w:val="center"/>
          </w:tcPr>
          <w:p w:rsidR="00000000" w:rsidDel="00000000" w:rsidP="00000000" w:rsidRDefault="00000000" w:rsidRPr="00000000" w14:paraId="000001D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1, 2, 3, 4, 5, 6, 7, 8, 9, 10, 11, 12</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E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por vigencia </w:t>
            </w:r>
          </w:p>
        </w:tc>
        <w:tc>
          <w:tcPr>
            <w:gridSpan w:val="17"/>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
              <w:tblW w:w="8233.0" w:type="dxa"/>
              <w:jc w:val="left"/>
              <w:tblLayout w:type="fixed"/>
              <w:tblLook w:val="0400"/>
            </w:tblPr>
            <w:tblGrid>
              <w:gridCol w:w="748"/>
              <w:gridCol w:w="750"/>
              <w:gridCol w:w="750"/>
              <w:gridCol w:w="750"/>
              <w:gridCol w:w="749"/>
              <w:gridCol w:w="749"/>
              <w:gridCol w:w="749"/>
              <w:gridCol w:w="749"/>
              <w:gridCol w:w="749"/>
              <w:gridCol w:w="749"/>
              <w:gridCol w:w="741"/>
              <w:tblGridChange w:id="0">
                <w:tblGrid>
                  <w:gridCol w:w="748"/>
                  <w:gridCol w:w="750"/>
                  <w:gridCol w:w="750"/>
                  <w:gridCol w:w="750"/>
                  <w:gridCol w:w="749"/>
                  <w:gridCol w:w="749"/>
                  <w:gridCol w:w="749"/>
                  <w:gridCol w:w="749"/>
                  <w:gridCol w:w="749"/>
                  <w:gridCol w:w="749"/>
                  <w:gridCol w:w="741"/>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5</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E">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2">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9">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4">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8">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F">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4">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8">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A">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E">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5">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40">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12</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24B">
            <w:pPr>
              <w:jc w:val="center"/>
              <w:rPr>
                <w:rFonts w:ascii="Times New Roman" w:cs="Times New Roman" w:eastAsia="Times New Roman" w:hAnsi="Times New Roman"/>
                <w:b w:val="1"/>
                <w:bCs w:val="1"/>
                <w:i w:val="1"/>
                <w:iCs w:val="1"/>
                <w:sz w:val="20"/>
                <w:szCs w:val="20"/>
              </w:rPr>
            </w:pP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2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Periodicidad de medición del indicador</w:t>
            </w:r>
          </w:p>
        </w:tc>
        <w:tc>
          <w:tcPr>
            <w:gridSpan w:val="17"/>
            <w:vAlign w:val="center"/>
          </w:tcPr>
          <w:p w:rsidR="00000000" w:rsidDel="00000000" w:rsidP="00000000" w:rsidRDefault="00000000" w:rsidRPr="00000000" w14:paraId="0000026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Semestral</w:t>
            </w:r>
          </w:p>
        </w:tc>
      </w:tr>
      <w:tr>
        <w:trPr>
          <w:cantSplit w:val="0"/>
          <w:trHeight w:val="73" w:hRule="atLeast"/>
          <w:tblHeader w:val="0"/>
        </w:trPr>
        <w:tc>
          <w:tcPr>
            <w:gridSpan w:val="7"/>
            <w:vAlign w:val="center"/>
          </w:tcPr>
          <w:p w:rsidR="00000000" w:rsidDel="00000000" w:rsidP="00000000" w:rsidRDefault="00000000" w:rsidRPr="00000000" w14:paraId="000002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Enfoque del producto</w:t>
            </w:r>
          </w:p>
        </w:tc>
        <w:tc>
          <w:tcPr>
            <w:gridSpan w:val="16"/>
            <w:vAlign w:val="center"/>
          </w:tcPr>
          <w:p w:rsidR="00000000" w:rsidDel="00000000" w:rsidP="00000000" w:rsidRDefault="00000000" w:rsidRPr="00000000" w14:paraId="0000027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Derechos Humanos; Diferencial; Territorial</w:t>
            </w:r>
            <w:r w:rsidDel="00000000" w:rsidR="00000000" w:rsidRPr="00000000">
              <w:rPr>
                <w:rtl w:val="0"/>
              </w:rPr>
            </w:r>
          </w:p>
        </w:tc>
      </w:tr>
      <w:tr>
        <w:trPr>
          <w:cantSplit w:val="0"/>
          <w:trHeight w:val="73" w:hRule="atLeast"/>
          <w:tblHeader w:val="0"/>
        </w:trPr>
        <w:tc>
          <w:tcPr>
            <w:gridSpan w:val="7"/>
            <w:vAlign w:val="center"/>
          </w:tcPr>
          <w:p w:rsidR="00000000" w:rsidDel="00000000" w:rsidP="00000000" w:rsidRDefault="00000000" w:rsidRPr="00000000" w14:paraId="0000028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de desarrollo sostenible -ODS-</w:t>
            </w:r>
          </w:p>
        </w:tc>
        <w:tc>
          <w:tcPr>
            <w:gridSpan w:val="9"/>
            <w:vAlign w:val="center"/>
          </w:tcPr>
          <w:p w:rsidR="00000000" w:rsidDel="00000000" w:rsidP="00000000" w:rsidRDefault="00000000" w:rsidRPr="00000000" w14:paraId="0000029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Reducción de las desigualdades</w:t>
            </w:r>
            <w:r w:rsidDel="00000000" w:rsidR="00000000" w:rsidRPr="00000000">
              <w:rPr>
                <w:rtl w:val="0"/>
              </w:rPr>
            </w:r>
          </w:p>
        </w:tc>
        <w:tc>
          <w:tcPr>
            <w:gridSpan w:val="6"/>
            <w:vAlign w:val="center"/>
          </w:tcPr>
          <w:p w:rsidR="00000000" w:rsidDel="00000000" w:rsidP="00000000" w:rsidRDefault="00000000" w:rsidRPr="00000000" w14:paraId="000002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ODS</w:t>
            </w:r>
          </w:p>
        </w:tc>
        <w:tc>
          <w:tcPr>
            <w:vAlign w:val="center"/>
          </w:tcPr>
          <w:p w:rsidR="00000000" w:rsidDel="00000000" w:rsidP="00000000" w:rsidRDefault="00000000" w:rsidRPr="00000000" w14:paraId="000002A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r>
      <w:tr>
        <w:trPr>
          <w:cantSplit w:val="0"/>
          <w:trHeight w:val="73" w:hRule="atLeast"/>
          <w:tblHeader w:val="0"/>
        </w:trPr>
        <w:tc>
          <w:tcPr>
            <w:gridSpan w:val="23"/>
            <w:vAlign w:val="center"/>
          </w:tcPr>
          <w:p w:rsidR="00000000" w:rsidDel="00000000" w:rsidP="00000000" w:rsidRDefault="00000000" w:rsidRPr="00000000" w14:paraId="000002A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RESPONSABLE DEL PRODUCTO </w:t>
            </w:r>
          </w:p>
        </w:tc>
      </w:tr>
      <w:tr>
        <w:trPr>
          <w:cantSplit w:val="0"/>
          <w:trHeight w:val="73" w:hRule="atLeast"/>
          <w:tblHeader w:val="0"/>
        </w:trPr>
        <w:tc>
          <w:tcPr>
            <w:gridSpan w:val="5"/>
            <w:vAlign w:val="center"/>
          </w:tcPr>
          <w:p w:rsidR="00000000" w:rsidDel="00000000" w:rsidP="00000000" w:rsidRDefault="00000000" w:rsidRPr="00000000" w14:paraId="000002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funcionario responsable del indicador</w:t>
            </w:r>
          </w:p>
        </w:tc>
        <w:tc>
          <w:tcPr>
            <w:gridSpan w:val="3"/>
            <w:vAlign w:val="center"/>
          </w:tcPr>
          <w:p w:rsidR="00000000" w:rsidDel="00000000" w:rsidP="00000000" w:rsidRDefault="00000000" w:rsidRPr="00000000" w14:paraId="000002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Patricia del Carmen Diaz Castro</w:t>
            </w:r>
          </w:p>
        </w:tc>
        <w:tc>
          <w:tcPr>
            <w:gridSpan w:val="2"/>
            <w:vAlign w:val="center"/>
          </w:tcPr>
          <w:p w:rsidR="00000000" w:rsidDel="00000000" w:rsidP="00000000" w:rsidRDefault="00000000" w:rsidRPr="00000000" w14:paraId="000002C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Dependencia </w:t>
            </w:r>
          </w:p>
        </w:tc>
        <w:tc>
          <w:tcPr>
            <w:gridSpan w:val="4"/>
            <w:vAlign w:val="center"/>
          </w:tcPr>
          <w:p w:rsidR="00000000" w:rsidDel="00000000" w:rsidP="00000000" w:rsidRDefault="00000000" w:rsidRPr="00000000" w14:paraId="000002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IPCC</w:t>
            </w:r>
          </w:p>
        </w:tc>
        <w:tc>
          <w:tcPr>
            <w:gridSpan w:val="4"/>
            <w:vAlign w:val="center"/>
          </w:tcPr>
          <w:p w:rsidR="00000000" w:rsidDel="00000000" w:rsidP="00000000" w:rsidRDefault="00000000" w:rsidRPr="00000000" w14:paraId="000002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Correo electrónico </w:t>
            </w:r>
            <w:r w:rsidDel="00000000" w:rsidR="00000000" w:rsidRPr="00000000">
              <w:rPr>
                <w:rtl w:val="0"/>
              </w:rPr>
            </w:r>
          </w:p>
        </w:tc>
        <w:tc>
          <w:tcPr>
            <w:gridSpan w:val="5"/>
            <w:vAlign w:val="center"/>
          </w:tcPr>
          <w:p w:rsidR="00000000" w:rsidDel="00000000" w:rsidP="00000000" w:rsidRDefault="00000000" w:rsidRPr="00000000" w14:paraId="000002CA">
            <w:pPr>
              <w:jc w:val="center"/>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0000ee"/>
                  <w:sz w:val="20"/>
                  <w:szCs w:val="20"/>
                  <w:u w:val="single"/>
                  <w:rtl w:val="0"/>
                </w:rPr>
                <w:t xml:space="preserve">coord.bibliotecasyfiestas@ipcc.gov.co</w:t>
              </w:r>
            </w:hyperlink>
            <w:r w:rsidDel="00000000" w:rsidR="00000000" w:rsidRPr="00000000">
              <w:rPr>
                <w:rtl w:val="0"/>
              </w:rPr>
            </w:r>
          </w:p>
        </w:tc>
      </w:tr>
    </w:tbl>
    <w:p w:rsidR="00000000" w:rsidDel="00000000" w:rsidP="00000000" w:rsidRDefault="00000000" w:rsidRPr="00000000" w14:paraId="000002CF">
      <w:pPr>
        <w:rPr>
          <w:rFonts w:ascii="Times New Roman" w:cs="Times New Roman" w:eastAsia="Times New Roman" w:hAnsi="Times New Roman"/>
          <w:b w:val="1"/>
          <w:bCs w:val="1"/>
          <w:sz w:val="20"/>
          <w:szCs w:val="20"/>
        </w:rPr>
      </w:pPr>
      <w:r w:rsidDel="00000000" w:rsidR="00000000" w:rsidRPr="00000000">
        <w:rPr>
          <w:rtl w:val="0"/>
        </w:rPr>
      </w:r>
    </w:p>
    <w:tbl>
      <w:tblPr>
        <w:tblStyle w:val="Table3"/>
        <w:tblW w:w="11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2412"/>
        <w:gridCol w:w="1118"/>
        <w:gridCol w:w="2142"/>
        <w:gridCol w:w="1149"/>
        <w:gridCol w:w="2962"/>
        <w:tblGridChange w:id="0">
          <w:tblGrid>
            <w:gridCol w:w="1269"/>
            <w:gridCol w:w="2412"/>
            <w:gridCol w:w="1118"/>
            <w:gridCol w:w="2142"/>
            <w:gridCol w:w="1149"/>
            <w:gridCol w:w="2962"/>
          </w:tblGrid>
        </w:tblGridChange>
      </w:tblGrid>
      <w:tr>
        <w:trPr>
          <w:cantSplit w:val="0"/>
          <w:tblHeader w:val="0"/>
        </w:trPr>
        <w:tc>
          <w:tcPr>
            <w:vAlign w:val="center"/>
          </w:tcPr>
          <w:p w:rsidR="00000000" w:rsidDel="00000000" w:rsidP="00000000" w:rsidRDefault="00000000" w:rsidRPr="00000000" w14:paraId="000002D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Viabilidad técnica </w:t>
            </w:r>
          </w:p>
          <w:p w:rsidR="00000000" w:rsidDel="00000000" w:rsidP="00000000" w:rsidRDefault="00000000" w:rsidRPr="00000000" w14:paraId="000002D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SDP</w:t>
            </w:r>
          </w:p>
        </w:tc>
        <w:tc>
          <w:tcPr>
            <w:vAlign w:val="center"/>
          </w:tcPr>
          <w:p w:rsidR="00000000" w:rsidDel="00000000" w:rsidP="00000000" w:rsidRDefault="00000000" w:rsidRPr="00000000" w14:paraId="000002D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Visto bueno: Secretaría de Planeación Distrital</w:t>
            </w:r>
            <w:r w:rsidDel="00000000" w:rsidR="00000000" w:rsidRPr="00000000">
              <w:rPr>
                <w:rtl w:val="0"/>
              </w:rPr>
            </w:r>
          </w:p>
        </w:tc>
        <w:tc>
          <w:tcPr>
            <w:vAlign w:val="center"/>
          </w:tcPr>
          <w:p w:rsidR="00000000" w:rsidDel="00000000" w:rsidP="00000000" w:rsidRDefault="00000000" w:rsidRPr="00000000" w14:paraId="000002D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Aprobación Entidad coordinadora</w:t>
            </w:r>
          </w:p>
        </w:tc>
        <w:tc>
          <w:tcPr>
            <w:vAlign w:val="center"/>
          </w:tcPr>
          <w:p w:rsidR="00000000" w:rsidDel="00000000" w:rsidP="00000000" w:rsidRDefault="00000000" w:rsidRPr="00000000" w14:paraId="000002D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Visto bueno: Entidad coordinadora de política</w:t>
            </w:r>
            <w:r w:rsidDel="00000000" w:rsidR="00000000" w:rsidRPr="00000000">
              <w:rPr>
                <w:rtl w:val="0"/>
              </w:rPr>
            </w:r>
          </w:p>
        </w:tc>
        <w:tc>
          <w:tcPr>
            <w:vAlign w:val="center"/>
          </w:tcPr>
          <w:p w:rsidR="00000000" w:rsidDel="00000000" w:rsidP="00000000" w:rsidRDefault="00000000" w:rsidRPr="00000000" w14:paraId="000002D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Viabilidad </w:t>
            </w:r>
          </w:p>
          <w:p w:rsidR="00000000" w:rsidDel="00000000" w:rsidP="00000000" w:rsidRDefault="00000000" w:rsidRPr="00000000" w14:paraId="000002D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Entidad responsable </w:t>
            </w:r>
          </w:p>
        </w:tc>
        <w:tc>
          <w:tcPr>
            <w:vAlign w:val="center"/>
          </w:tcPr>
          <w:p w:rsidR="00000000" w:rsidDel="00000000" w:rsidP="00000000" w:rsidRDefault="00000000" w:rsidRPr="00000000" w14:paraId="000002D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Visto bueno: Entidad proyectada para la implementación</w:t>
            </w:r>
            <w:r w:rsidDel="00000000" w:rsidR="00000000" w:rsidRPr="00000000">
              <w:rPr>
                <w:rtl w:val="0"/>
              </w:rPr>
            </w:r>
          </w:p>
        </w:tc>
      </w:tr>
    </w:tbl>
    <w:p w:rsidR="00000000" w:rsidDel="00000000" w:rsidP="00000000" w:rsidRDefault="00000000" w:rsidRPr="00000000" w14:paraId="000002D8">
      <w:pPr>
        <w:rPr>
          <w:rFonts w:ascii="Times New Roman" w:cs="Times New Roman" w:eastAsia="Times New Roman" w:hAnsi="Times New Roman"/>
          <w:sz w:val="20"/>
          <w:szCs w:val="20"/>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943C62"/>
    <w:pPr>
      <w:tabs>
        <w:tab w:val="center" w:pos="4419"/>
        <w:tab w:val="right" w:pos="8838"/>
      </w:tabs>
    </w:pPr>
  </w:style>
  <w:style w:type="character" w:styleId="EncabezadoCar" w:customStyle="1">
    <w:name w:val="Encabezado Car"/>
    <w:basedOn w:val="Fuentedeprrafopredeter"/>
    <w:link w:val="Encabezado"/>
    <w:uiPriority w:val="99"/>
    <w:rsid w:val="00943C62"/>
  </w:style>
  <w:style w:type="paragraph" w:styleId="Piedepgina">
    <w:name w:val="footer"/>
    <w:basedOn w:val="Normal"/>
    <w:link w:val="PiedepginaCar"/>
    <w:uiPriority w:val="99"/>
    <w:unhideWhenUsed w:val="1"/>
    <w:rsid w:val="00943C62"/>
    <w:pPr>
      <w:tabs>
        <w:tab w:val="center" w:pos="4419"/>
        <w:tab w:val="right" w:pos="8838"/>
      </w:tabs>
    </w:pPr>
  </w:style>
  <w:style w:type="character" w:styleId="PiedepginaCar" w:customStyle="1">
    <w:name w:val="Pie de página Car"/>
    <w:basedOn w:val="Fuentedeprrafopredeter"/>
    <w:link w:val="Piedepgina"/>
    <w:uiPriority w:val="99"/>
    <w:rsid w:val="00943C62"/>
  </w:style>
  <w:style w:type="character" w:styleId="Refdecomentario">
    <w:name w:val="annotation reference"/>
    <w:basedOn w:val="Fuentedeprrafopredeter"/>
    <w:uiPriority w:val="99"/>
    <w:semiHidden w:val="1"/>
    <w:unhideWhenUsed w:val="1"/>
    <w:rsid w:val="00E66659"/>
    <w:rPr>
      <w:sz w:val="16"/>
      <w:szCs w:val="16"/>
    </w:rPr>
  </w:style>
  <w:style w:type="paragraph" w:styleId="Textocomentario">
    <w:name w:val="annotation text"/>
    <w:basedOn w:val="Normal"/>
    <w:link w:val="TextocomentarioCar"/>
    <w:uiPriority w:val="99"/>
    <w:semiHidden w:val="1"/>
    <w:unhideWhenUsed w:val="1"/>
    <w:rsid w:val="00E66659"/>
    <w:rPr>
      <w:sz w:val="20"/>
      <w:szCs w:val="20"/>
    </w:rPr>
  </w:style>
  <w:style w:type="character" w:styleId="TextocomentarioCar" w:customStyle="1">
    <w:name w:val="Texto comentario Car"/>
    <w:basedOn w:val="Fuentedeprrafopredeter"/>
    <w:link w:val="Textocomentario"/>
    <w:uiPriority w:val="99"/>
    <w:semiHidden w:val="1"/>
    <w:rsid w:val="00E6665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E66659"/>
    <w:rPr>
      <w:b w:val="1"/>
      <w:bCs w:val="1"/>
    </w:rPr>
  </w:style>
  <w:style w:type="character" w:styleId="AsuntodelcomentarioCar" w:customStyle="1">
    <w:name w:val="Asunto del comentario Car"/>
    <w:basedOn w:val="TextocomentarioCar"/>
    <w:link w:val="Asuntodelcomentario"/>
    <w:uiPriority w:val="99"/>
    <w:semiHidden w:val="1"/>
    <w:rsid w:val="00E66659"/>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ord.bibliotecasyfiestas@ipcc.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8JF3or6FIePA6A0zRznDUuWXQ==">CgMxLjA4AHIhMVBLT09IRDBIem9IZ3N1b1hJbjJBQk1TQUt2X2twYXJw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2025-08-13T04:40:00Z</dcterms:created>
  <dc:creator>Fernando Montero Polo</dc:creator>
</cp:coreProperties>
</file>