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225"/>
        <w:gridCol w:w="105"/>
        <w:gridCol w:w="105"/>
        <w:gridCol w:w="270"/>
        <w:gridCol w:w="660"/>
        <w:gridCol w:w="240"/>
        <w:gridCol w:w="465"/>
        <w:gridCol w:w="660"/>
        <w:gridCol w:w="615"/>
        <w:gridCol w:w="360"/>
        <w:gridCol w:w="1245"/>
        <w:gridCol w:w="210"/>
        <w:gridCol w:w="105"/>
        <w:gridCol w:w="330"/>
        <w:gridCol w:w="420"/>
        <w:gridCol w:w="135"/>
        <w:gridCol w:w="240"/>
        <w:gridCol w:w="705"/>
        <w:gridCol w:w="105"/>
        <w:gridCol w:w="1035"/>
        <w:gridCol w:w="330"/>
        <w:gridCol w:w="1125"/>
        <w:tblGridChange w:id="0">
          <w:tblGrid>
            <w:gridCol w:w="1515"/>
            <w:gridCol w:w="225"/>
            <w:gridCol w:w="105"/>
            <w:gridCol w:w="105"/>
            <w:gridCol w:w="270"/>
            <w:gridCol w:w="660"/>
            <w:gridCol w:w="240"/>
            <w:gridCol w:w="465"/>
            <w:gridCol w:w="660"/>
            <w:gridCol w:w="615"/>
            <w:gridCol w:w="360"/>
            <w:gridCol w:w="1245"/>
            <w:gridCol w:w="210"/>
            <w:gridCol w:w="105"/>
            <w:gridCol w:w="330"/>
            <w:gridCol w:w="420"/>
            <w:gridCol w:w="135"/>
            <w:gridCol w:w="240"/>
            <w:gridCol w:w="705"/>
            <w:gridCol w:w="105"/>
            <w:gridCol w:w="1035"/>
            <w:gridCol w:w="330"/>
            <w:gridCol w:w="1125"/>
          </w:tblGrid>
        </w:tblGridChange>
      </w:tblGrid>
      <w:tr>
        <w:trPr>
          <w:cantSplit w:val="0"/>
          <w:trHeight w:val="133" w:hRule="atLeast"/>
          <w:tblHeader w:val="1"/>
        </w:trPr>
        <w:tc>
          <w:tcPr>
            <w:gridSpan w:val="2"/>
            <w:vAlign w:val="cente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0" w:lineRule="auto"/>
              <w:rPr>
                <w:rFonts w:ascii="Times New Roman" w:cs="Times New Roman" w:eastAsia="Times New Roman" w:hAnsi="Times New Roman"/>
                <w:color w:val="2f5496"/>
                <w:sz w:val="20"/>
                <w:szCs w:val="20"/>
              </w:rPr>
            </w:pPr>
            <w:r w:rsidDel="00000000" w:rsidR="00000000" w:rsidRPr="00000000">
              <w:rPr>
                <w:rFonts w:ascii="Times New Roman" w:cs="Times New Roman" w:eastAsia="Times New Roman" w:hAnsi="Times New Roman"/>
                <w:color w:val="2f5496"/>
                <w:sz w:val="20"/>
                <w:szCs w:val="20"/>
                <w:rtl w:val="0"/>
              </w:rPr>
              <w:t xml:space="preserve">Versión 2</w:t>
            </w:r>
          </w:p>
        </w:tc>
        <w:tc>
          <w:tcPr>
            <w:gridSpan w:val="4"/>
            <w:vAlign w:val="center"/>
          </w:tcPr>
          <w:p w:rsidR="00000000" w:rsidDel="00000000" w:rsidP="00000000" w:rsidRDefault="00000000" w:rsidRPr="00000000" w14:paraId="00000004">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i w:val="1"/>
                <w:iCs w:val="1"/>
                <w:color w:val="a5a5a5"/>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P 1.2.1</w:t>
            </w:r>
            <w:r w:rsidDel="00000000" w:rsidR="00000000" w:rsidRPr="00000000">
              <w:rPr>
                <w:rtl w:val="0"/>
              </w:rPr>
            </w:r>
          </w:p>
        </w:tc>
      </w:tr>
      <w:tr>
        <w:trPr>
          <w:cantSplit w:val="0"/>
          <w:trHeight w:val="562" w:hRule="atLeast"/>
          <w:tblHeader w:val="0"/>
        </w:trPr>
        <w:tc>
          <w:tcPr>
            <w:gridSpan w:val="16"/>
            <w:vAlign w:val="center"/>
          </w:tcPr>
          <w:p w:rsidR="00000000" w:rsidDel="00000000" w:rsidP="00000000" w:rsidRDefault="00000000" w:rsidRPr="00000000" w14:paraId="0000000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ALCALDÍA MAYOR DE CARTAGENA DE INDIAS</w:t>
            </w:r>
          </w:p>
          <w:p w:rsidR="00000000" w:rsidDel="00000000" w:rsidP="00000000" w:rsidRDefault="00000000" w:rsidRPr="00000000" w14:paraId="0000000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CONSEJO DE POLÍTICA ECONÓMICA Y SOCIAL DEL DISTRITO DE CARTAGENA DE INDIAS. CONPES D. T. y C.</w:t>
            </w:r>
          </w:p>
          <w:p w:rsidR="00000000" w:rsidDel="00000000" w:rsidP="00000000" w:rsidRDefault="00000000" w:rsidRPr="00000000" w14:paraId="0000000A">
            <w:pPr>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Secretaría Distrital de Planeación </w:t>
            </w:r>
          </w:p>
        </w:tc>
        <w:tc>
          <w:tcPr>
            <w:gridSpan w:val="7"/>
            <w:vAlign w:val="center"/>
          </w:tcPr>
          <w:p w:rsidR="00000000" w:rsidDel="00000000" w:rsidP="00000000" w:rsidRDefault="00000000" w:rsidRPr="00000000" w14:paraId="0000001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Pr>
              <w:drawing>
                <wp:inline distB="0" distT="0" distL="0" distR="0">
                  <wp:extent cx="1298187" cy="368734"/>
                  <wp:effectExtent b="0" l="0" r="0" t="0"/>
                  <wp:docPr id="2069863196" name="image1.png"/>
                  <a:graphic>
                    <a:graphicData uri="http://schemas.openxmlformats.org/drawingml/2006/picture">
                      <pic:pic>
                        <pic:nvPicPr>
                          <pic:cNvPr id="0" name="image1.png"/>
                          <pic:cNvPicPr preferRelativeResize="0"/>
                        </pic:nvPicPr>
                        <pic:blipFill>
                          <a:blip r:embed="rId7"/>
                          <a:srcRect b="34287" l="15642" r="14937" t="33518"/>
                          <a:stretch>
                            <a:fillRect/>
                          </a:stretch>
                        </pic:blipFill>
                        <pic:spPr>
                          <a:xfrm>
                            <a:off x="0" y="0"/>
                            <a:ext cx="1298187" cy="368734"/>
                          </a:xfrm>
                          <a:prstGeom prst="rect"/>
                          <a:ln/>
                        </pic:spPr>
                      </pic:pic>
                    </a:graphicData>
                  </a:graphic>
                </wp:inline>
              </w:drawing>
            </w:r>
            <w:r w:rsidDel="00000000" w:rsidR="00000000" w:rsidRPr="00000000">
              <w:rPr>
                <w:rtl w:val="0"/>
              </w:rPr>
            </w:r>
          </w:p>
        </w:tc>
      </w:tr>
      <w:tr>
        <w:trPr>
          <w:cantSplit w:val="0"/>
          <w:tblHeader w:val="0"/>
        </w:trPr>
        <w:tc>
          <w:tcPr>
            <w:gridSpan w:val="8"/>
            <w:vAlign w:val="center"/>
          </w:tcPr>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coordinadora de Política Pública </w:t>
            </w:r>
          </w:p>
        </w:tc>
        <w:tc>
          <w:tcPr>
            <w:gridSpan w:val="15"/>
            <w:vAlign w:val="center"/>
          </w:tcPr>
          <w:p w:rsidR="00000000" w:rsidDel="00000000" w:rsidP="00000000" w:rsidRDefault="00000000" w:rsidRPr="00000000" w14:paraId="00000029">
            <w:pPr>
              <w:jc w:val="both"/>
              <w:rPr>
                <w:rFonts w:ascii="Times New Roman" w:cs="Times New Roman" w:eastAsia="Times New Roman" w:hAnsi="Times New Roman"/>
                <w:i w:val="1"/>
                <w:iCs w:val="1"/>
                <w:color w:val="a5a5a5"/>
                <w:sz w:val="20"/>
                <w:szCs w:val="20"/>
              </w:rPr>
            </w:pPr>
            <w:r w:rsidDel="00000000" w:rsidR="00000000" w:rsidRPr="00000000">
              <w:rPr>
                <w:rFonts w:ascii="Times New Roman" w:cs="Times New Roman" w:eastAsia="Times New Roman" w:hAnsi="Times New Roman"/>
                <w:sz w:val="20"/>
                <w:szCs w:val="20"/>
                <w:rtl w:val="0"/>
              </w:rPr>
              <w:t xml:space="preserve">Instituto de Patrimonio y Cultura de Cartagena - IPCC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Política Pública</w:t>
            </w:r>
          </w:p>
        </w:tc>
        <w:tc>
          <w:tcPr>
            <w:gridSpan w:val="10"/>
            <w:vAlign w:val="center"/>
          </w:tcPr>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Distrital de Bibliotecas, Lectura, Escritura y Oralidad</w:t>
            </w:r>
          </w:p>
        </w:tc>
        <w:tc>
          <w:tcPr>
            <w:gridSpan w:val="4"/>
            <w:vAlign w:val="center"/>
          </w:tcPr>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Documento CONPES</w:t>
            </w:r>
          </w:p>
        </w:tc>
        <w:tc>
          <w:tcPr>
            <w:gridSpan w:val="8"/>
            <w:vAlign w:val="center"/>
          </w:tcPr>
          <w:p w:rsidR="00000000" w:rsidDel="00000000" w:rsidP="00000000" w:rsidRDefault="00000000" w:rsidRPr="00000000" w14:paraId="00000047">
            <w:pPr>
              <w:rPr>
                <w:rFonts w:ascii="Times New Roman" w:cs="Times New Roman" w:eastAsia="Times New Roman" w:hAnsi="Times New Roman"/>
                <w:color w:val="ff0000"/>
                <w:sz w:val="20"/>
                <w:szCs w:val="20"/>
              </w:rPr>
            </w:pPr>
            <w:r w:rsidDel="00000000" w:rsidR="00000000" w:rsidRPr="00000000">
              <w:rPr>
                <w:rtl w:val="0"/>
              </w:rPr>
            </w:r>
          </w:p>
        </w:tc>
      </w:tr>
      <w:tr>
        <w:trPr>
          <w:cantSplit w:val="0"/>
          <w:tblHeader w:val="0"/>
        </w:trPr>
        <w:tc>
          <w:tcPr>
            <w:gridSpan w:val="23"/>
            <w:vAlign w:val="center"/>
          </w:tcPr>
          <w:p w:rsidR="00000000" w:rsidDel="00000000" w:rsidP="00000000" w:rsidRDefault="00000000" w:rsidRPr="00000000" w14:paraId="0000004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HOJA DE VIDA: PRODUCTO DE POLÍTICA PÚBLICA</w:t>
            </w:r>
          </w:p>
        </w:tc>
      </w:tr>
      <w:tr>
        <w:trPr>
          <w:cantSplit w:val="0"/>
          <w:tblHeader w:val="0"/>
        </w:trPr>
        <w:tc>
          <w:tcPr>
            <w:gridSpan w:val="23"/>
            <w:vAlign w:val="center"/>
          </w:tcPr>
          <w:p w:rsidR="00000000" w:rsidDel="00000000" w:rsidP="00000000" w:rsidRDefault="00000000" w:rsidRPr="00000000" w14:paraId="0000006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DATOS GENERALES </w:t>
            </w:r>
          </w:p>
        </w:tc>
      </w:tr>
      <w:tr>
        <w:trPr>
          <w:cantSplit w:val="0"/>
          <w:trHeight w:val="403" w:hRule="atLeast"/>
          <w:tblHeader w:val="0"/>
        </w:trPr>
        <w:tc>
          <w:tcPr>
            <w:gridSpan w:val="3"/>
            <w:vAlign w:val="center"/>
          </w:tcPr>
          <w:p w:rsidR="00000000" w:rsidDel="00000000" w:rsidP="00000000" w:rsidRDefault="00000000" w:rsidRPr="00000000" w14:paraId="000000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encargada de implementación</w:t>
            </w:r>
          </w:p>
        </w:tc>
        <w:tc>
          <w:tcPr>
            <w:gridSpan w:val="16"/>
            <w:vAlign w:val="center"/>
          </w:tcPr>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responsable: IPCC</w:t>
            </w:r>
            <w:r w:rsidDel="00000000" w:rsidR="00000000" w:rsidRPr="00000000">
              <w:rPr>
                <w:rFonts w:ascii="Times New Roman" w:cs="Times New Roman" w:eastAsia="Times New Roman" w:hAnsi="Times New Roman"/>
                <w:sz w:val="20"/>
                <w:szCs w:val="20"/>
                <w:rtl w:val="0"/>
              </w:rPr>
              <w:t xml:space="preserve"> /Entidad corresponsable (008): Oficina Asesora de Comunicaciones y Prensa</w:t>
            </w:r>
          </w:p>
        </w:tc>
        <w:tc>
          <w:tcPr>
            <w:gridSpan w:val="3"/>
            <w:vAlign w:val="center"/>
          </w:tcPr>
          <w:p w:rsidR="00000000" w:rsidDel="00000000" w:rsidP="00000000" w:rsidRDefault="00000000" w:rsidRPr="00000000" w14:paraId="000000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entidad</w:t>
            </w:r>
          </w:p>
        </w:tc>
        <w:tc>
          <w:tcPr>
            <w:vAlign w:val="center"/>
          </w:tcPr>
          <w:p w:rsidR="00000000" w:rsidDel="00000000" w:rsidP="00000000" w:rsidRDefault="00000000" w:rsidRPr="00000000" w14:paraId="00000093">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01</w:t>
            </w:r>
          </w:p>
        </w:tc>
      </w:tr>
      <w:tr>
        <w:trPr>
          <w:cantSplit w:val="0"/>
          <w:trHeight w:val="249" w:hRule="atLeast"/>
          <w:tblHeader w:val="0"/>
        </w:trPr>
        <w:tc>
          <w:tcPr>
            <w:gridSpan w:val="3"/>
            <w:vAlign w:val="center"/>
          </w:tcPr>
          <w:p w:rsidR="00000000" w:rsidDel="00000000" w:rsidP="00000000" w:rsidRDefault="00000000" w:rsidRPr="00000000" w14:paraId="000000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específico asociado</w:t>
            </w:r>
          </w:p>
        </w:tc>
        <w:tc>
          <w:tcPr>
            <w:gridSpan w:val="16"/>
            <w:vAlign w:val="center"/>
          </w:tcPr>
          <w:p w:rsidR="00000000" w:rsidDel="00000000" w:rsidP="00000000" w:rsidRDefault="00000000" w:rsidRPr="00000000" w14:paraId="00000097">
            <w:pPr>
              <w:jc w:val="both"/>
              <w:rPr>
                <w:rFonts w:ascii="Times New Roman" w:cs="Times New Roman" w:eastAsia="Times New Roman" w:hAnsi="Times New Roman"/>
                <w:color w:val="a5a5a5"/>
                <w:sz w:val="20"/>
                <w:szCs w:val="20"/>
              </w:rPr>
            </w:pPr>
            <w:r w:rsidDel="00000000" w:rsidR="00000000" w:rsidRPr="00000000">
              <w:rPr>
                <w:rFonts w:ascii="Times New Roman" w:cs="Times New Roman" w:eastAsia="Times New Roman" w:hAnsi="Times New Roman"/>
                <w:color w:val="1f1f1f"/>
                <w:sz w:val="20"/>
                <w:szCs w:val="20"/>
                <w:highlight w:val="white"/>
                <w:rtl w:val="0"/>
              </w:rPr>
              <w:t xml:space="preserve">Ampliar la oferta de servicios de las bibliotecas distritales con capital humano idóneo, en espacios inclusivos, descentralizados y participativos. </w:t>
            </w:r>
            <w:r w:rsidDel="00000000" w:rsidR="00000000" w:rsidRPr="00000000">
              <w:rPr>
                <w:rtl w:val="0"/>
              </w:rPr>
            </w:r>
          </w:p>
        </w:tc>
        <w:tc>
          <w:tcPr>
            <w:gridSpan w:val="3"/>
            <w:vAlign w:val="center"/>
          </w:tcPr>
          <w:p w:rsidR="00000000" w:rsidDel="00000000" w:rsidP="00000000" w:rsidRDefault="00000000" w:rsidRPr="00000000" w14:paraId="000000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objetivo</w:t>
            </w:r>
          </w:p>
        </w:tc>
        <w:tc>
          <w:tcPr>
            <w:vAlign w:val="center"/>
          </w:tcPr>
          <w:p w:rsidR="00000000" w:rsidDel="00000000" w:rsidP="00000000" w:rsidRDefault="00000000" w:rsidRPr="00000000" w14:paraId="000000AA">
            <w:pPr>
              <w:jc w:val="both"/>
              <w:rPr>
                <w:rFonts w:ascii="Times New Roman" w:cs="Times New Roman" w:eastAsia="Times New Roman" w:hAnsi="Times New Roman"/>
                <w:i w:val="1"/>
                <w:iCs w:val="1"/>
                <w:color w:val="a5a5a5"/>
                <w:sz w:val="20"/>
                <w:szCs w:val="20"/>
              </w:rPr>
            </w:pPr>
            <w:r w:rsidDel="00000000" w:rsidR="00000000" w:rsidRPr="00000000">
              <w:rPr>
                <w:rFonts w:ascii="Times New Roman" w:cs="Times New Roman" w:eastAsia="Times New Roman" w:hAnsi="Times New Roman"/>
                <w:i w:val="1"/>
                <w:iCs w:val="1"/>
                <w:sz w:val="20"/>
                <w:szCs w:val="20"/>
                <w:rtl w:val="0"/>
              </w:rPr>
              <w:t xml:space="preserve">OE.1</w:t>
            </w:r>
            <w:r w:rsidDel="00000000" w:rsidR="00000000" w:rsidRPr="00000000">
              <w:rPr>
                <w:rtl w:val="0"/>
              </w:rPr>
            </w:r>
          </w:p>
        </w:tc>
      </w:tr>
      <w:tr>
        <w:trPr>
          <w:cantSplit w:val="0"/>
          <w:trHeight w:val="587" w:hRule="atLeast"/>
          <w:tblHeader w:val="0"/>
        </w:trPr>
        <w:tc>
          <w:tcPr>
            <w:gridSpan w:val="3"/>
            <w:vAlign w:val="center"/>
          </w:tcPr>
          <w:p w:rsidR="00000000" w:rsidDel="00000000" w:rsidP="00000000" w:rsidRDefault="00000000" w:rsidRPr="00000000" w14:paraId="000000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de resultado a la (s) que el producto aporta mediante su implementación.</w:t>
            </w:r>
          </w:p>
        </w:tc>
        <w:tc>
          <w:tcPr>
            <w:gridSpan w:val="20"/>
            <w:vAlign w:val="center"/>
          </w:tcPr>
          <w:p w:rsidR="00000000" w:rsidDel="00000000" w:rsidP="00000000" w:rsidRDefault="00000000" w:rsidRPr="00000000" w14:paraId="000000AE">
            <w:pPr>
              <w:jc w:val="both"/>
              <w:rPr>
                <w:rFonts w:ascii="Times New Roman" w:cs="Times New Roman" w:eastAsia="Times New Roman" w:hAnsi="Times New Roman"/>
                <w:color w:val="1f1f1f"/>
                <w:sz w:val="20"/>
                <w:szCs w:val="20"/>
                <w:highlight w:val="white"/>
              </w:rPr>
            </w:pPr>
            <w:r w:rsidDel="00000000" w:rsidR="00000000" w:rsidRPr="00000000">
              <w:rPr>
                <w:rFonts w:ascii="Times New Roman" w:cs="Times New Roman" w:eastAsia="Times New Roman" w:hAnsi="Times New Roman"/>
                <w:color w:val="1f1f1f"/>
                <w:sz w:val="20"/>
                <w:szCs w:val="20"/>
                <w:highlight w:val="white"/>
                <w:rtl w:val="0"/>
              </w:rPr>
              <w:t xml:space="preserve">1.2. Aumento en la participación comunitaria en la Red Distrital de Bibliotecas Públicas.</w:t>
            </w:r>
          </w:p>
        </w:tc>
      </w:tr>
      <w:tr>
        <w:trPr>
          <w:cantSplit w:val="0"/>
          <w:tblHeader w:val="0"/>
        </w:trPr>
        <w:tc>
          <w:tcPr>
            <w:gridSpan w:val="3"/>
            <w:vAlign w:val="center"/>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Componente - Eje</w:t>
            </w:r>
          </w:p>
        </w:tc>
        <w:tc>
          <w:tcPr>
            <w:gridSpan w:val="6"/>
            <w:vAlign w:val="center"/>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Organizacional e Infraestructura</w:t>
            </w:r>
          </w:p>
        </w:tc>
        <w:tc>
          <w:tcPr>
            <w:gridSpan w:val="3"/>
            <w:vAlign w:val="center"/>
          </w:tcPr>
          <w:p w:rsidR="00000000" w:rsidDel="00000000" w:rsidP="00000000" w:rsidRDefault="00000000" w:rsidRPr="00000000" w14:paraId="000000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de acción</w:t>
            </w:r>
          </w:p>
        </w:tc>
        <w:tc>
          <w:tcPr>
            <w:gridSpan w:val="11"/>
            <w:vAlign w:val="center"/>
          </w:tcPr>
          <w:p w:rsidR="00000000" w:rsidDel="00000000" w:rsidP="00000000" w:rsidRDefault="00000000" w:rsidRPr="00000000" w14:paraId="000000CE">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Participación comunitaria</w:t>
            </w:r>
          </w:p>
        </w:tc>
      </w:tr>
      <w:tr>
        <w:trPr>
          <w:cantSplit w:val="0"/>
          <w:tblHeader w:val="0"/>
        </w:trPr>
        <w:tc>
          <w:tcPr>
            <w:gridSpan w:val="3"/>
            <w:vAlign w:val="center"/>
          </w:tcPr>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producto</w:t>
            </w:r>
          </w:p>
        </w:tc>
        <w:tc>
          <w:tcPr>
            <w:gridSpan w:val="6"/>
            <w:vAlign w:val="center"/>
          </w:tcPr>
          <w:p w:rsidR="00000000" w:rsidDel="00000000" w:rsidP="00000000" w:rsidRDefault="00000000" w:rsidRPr="00000000" w14:paraId="000000DC">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color w:val="1f1f1f"/>
                <w:sz w:val="20"/>
                <w:szCs w:val="20"/>
                <w:rtl w:val="0"/>
              </w:rPr>
              <w:t xml:space="preserve">1.2.1.</w:t>
            </w:r>
            <w:r w:rsidDel="00000000" w:rsidR="00000000" w:rsidRPr="00000000">
              <w:rPr>
                <w:rtl w:val="0"/>
              </w:rPr>
            </w:r>
          </w:p>
        </w:tc>
        <w:tc>
          <w:tcPr>
            <w:gridSpan w:val="3"/>
            <w:vAlign w:val="center"/>
          </w:tcPr>
          <w:p w:rsidR="00000000" w:rsidDel="00000000" w:rsidP="00000000" w:rsidRDefault="00000000" w:rsidRPr="00000000" w14:paraId="000000E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producto</w:t>
            </w:r>
          </w:p>
        </w:tc>
        <w:tc>
          <w:tcPr>
            <w:gridSpan w:val="11"/>
            <w:vAlign w:val="center"/>
          </w:tcPr>
          <w:p w:rsidR="00000000" w:rsidDel="00000000" w:rsidP="00000000" w:rsidRDefault="00000000" w:rsidRPr="00000000" w14:paraId="000000E5">
            <w:pPr>
              <w:spacing w:after="240" w:before="240" w:lineRule="auto"/>
              <w:jc w:val="both"/>
              <w:rPr>
                <w:rFonts w:ascii="Times New Roman" w:cs="Times New Roman" w:eastAsia="Times New Roman" w:hAnsi="Times New Roman"/>
                <w:color w:val="a6a6a6"/>
                <w:sz w:val="20"/>
                <w:szCs w:val="20"/>
              </w:rPr>
            </w:pPr>
            <w:r w:rsidDel="00000000" w:rsidR="00000000" w:rsidRPr="00000000">
              <w:rPr>
                <w:rFonts w:ascii="Times New Roman" w:cs="Times New Roman" w:eastAsia="Times New Roman" w:hAnsi="Times New Roman"/>
                <w:color w:val="1f1f1f"/>
                <w:sz w:val="20"/>
                <w:szCs w:val="20"/>
                <w:rtl w:val="0"/>
              </w:rPr>
              <w:t xml:space="preserve">Programa para la promoción y difusión de los servicios y actividades de la red distrital de bibliotecas públicas (biblioagenda a la mano)</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Población objetivo del producto</w:t>
            </w:r>
          </w:p>
        </w:tc>
        <w:tc>
          <w:tcPr>
            <w:gridSpan w:val="20"/>
            <w:vAlign w:val="center"/>
          </w:tcPr>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Usuarios de la Red Distrital de Bibliotecas Públicas y la comunidad cartagenera en general.</w:t>
            </w:r>
          </w:p>
        </w:tc>
      </w:tr>
      <w:tr>
        <w:trPr>
          <w:cantSplit w:val="0"/>
          <w:trHeight w:val="238" w:hRule="atLeast"/>
          <w:tblHeader w:val="0"/>
        </w:trPr>
        <w:tc>
          <w:tcPr>
            <w:gridSpan w:val="3"/>
            <w:vAlign w:val="center"/>
          </w:tcPr>
          <w:p w:rsidR="00000000" w:rsidDel="00000000" w:rsidP="00000000" w:rsidRDefault="00000000" w:rsidRPr="00000000" w14:paraId="000001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Relación con el Plan de Desarrollo Distrital -PDD</w:t>
            </w:r>
          </w:p>
        </w:tc>
        <w:tc>
          <w:tcPr>
            <w:gridSpan w:val="4"/>
            <w:vAlign w:val="center"/>
          </w:tcPr>
          <w:p w:rsidR="00000000" w:rsidDel="00000000" w:rsidP="00000000" w:rsidRDefault="00000000" w:rsidRPr="00000000" w14:paraId="0000010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w:t>
            </w:r>
          </w:p>
          <w:p w:rsidR="00000000" w:rsidDel="00000000" w:rsidP="00000000" w:rsidRDefault="00000000" w:rsidRPr="00000000" w14:paraId="0000010B">
            <w:pPr>
              <w:rPr>
                <w:rFonts w:ascii="Times New Roman" w:cs="Times New Roman" w:eastAsia="Times New Roman" w:hAnsi="Times New Roman"/>
                <w:i w:val="1"/>
                <w:iCs w:val="1"/>
                <w:color w:val="a5a5a5"/>
                <w:sz w:val="20"/>
                <w:szCs w:val="20"/>
              </w:rPr>
            </w:pPr>
            <w:r w:rsidDel="00000000" w:rsidR="00000000" w:rsidRPr="00000000">
              <w:rPr>
                <w:rtl w:val="0"/>
              </w:rPr>
            </w:r>
          </w:p>
        </w:tc>
        <w:tc>
          <w:tcPr>
            <w:gridSpan w:val="2"/>
            <w:vAlign w:val="center"/>
          </w:tcPr>
          <w:p w:rsidR="00000000" w:rsidDel="00000000" w:rsidP="00000000" w:rsidRDefault="00000000" w:rsidRPr="00000000" w14:paraId="0000010F">
            <w:pPr>
              <w:rPr>
                <w:rFonts w:ascii="Times New Roman" w:cs="Times New Roman" w:eastAsia="Times New Roman" w:hAnsi="Times New Roman"/>
                <w:color w:val="a5a5a5"/>
                <w:sz w:val="20"/>
                <w:szCs w:val="20"/>
              </w:rPr>
            </w:pPr>
            <w:r w:rsidDel="00000000" w:rsidR="00000000" w:rsidRPr="00000000">
              <w:rPr>
                <w:rFonts w:ascii="Times New Roman" w:cs="Times New Roman" w:eastAsia="Times New Roman" w:hAnsi="Times New Roman"/>
                <w:sz w:val="20"/>
                <w:szCs w:val="20"/>
                <w:rtl w:val="0"/>
              </w:rPr>
              <w:t xml:space="preserve">Pilar, Objetivo o Eje del PDD</w:t>
            </w:r>
            <w:r w:rsidDel="00000000" w:rsidR="00000000" w:rsidRPr="00000000">
              <w:rPr>
                <w:rtl w:val="0"/>
              </w:rPr>
            </w:r>
          </w:p>
        </w:tc>
        <w:tc>
          <w:tcPr>
            <w:gridSpan w:val="6"/>
            <w:vAlign w:val="center"/>
          </w:tcPr>
          <w:p w:rsidR="00000000" w:rsidDel="00000000" w:rsidP="00000000" w:rsidRDefault="00000000" w:rsidRPr="00000000" w14:paraId="000001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Componente Impulsor de Avance: Artes, Cultura y Patrimonio</w:t>
            </w:r>
          </w:p>
        </w:tc>
        <w:tc>
          <w:tcPr>
            <w:gridSpan w:val="5"/>
            <w:vAlign w:val="center"/>
          </w:tcPr>
          <w:p w:rsidR="00000000" w:rsidDel="00000000" w:rsidP="00000000" w:rsidRDefault="00000000" w:rsidRPr="00000000" w14:paraId="00000117">
            <w:pPr>
              <w:rPr>
                <w:rFonts w:ascii="Times New Roman" w:cs="Times New Roman" w:eastAsia="Times New Roman" w:hAnsi="Times New Roman"/>
                <w:color w:val="a5a5a5"/>
                <w:sz w:val="20"/>
                <w:szCs w:val="20"/>
              </w:rPr>
            </w:pPr>
            <w:r w:rsidDel="00000000" w:rsidR="00000000" w:rsidRPr="00000000">
              <w:rPr>
                <w:rFonts w:ascii="Times New Roman" w:cs="Times New Roman" w:eastAsia="Times New Roman" w:hAnsi="Times New Roman"/>
                <w:sz w:val="20"/>
                <w:szCs w:val="20"/>
                <w:rtl w:val="0"/>
              </w:rPr>
              <w:t xml:space="preserve">Programa del PDD</w:t>
            </w:r>
            <w:r w:rsidDel="00000000" w:rsidR="00000000" w:rsidRPr="00000000">
              <w:rPr>
                <w:rtl w:val="0"/>
              </w:rPr>
            </w:r>
          </w:p>
        </w:tc>
        <w:tc>
          <w:tcPr>
            <w:gridSpan w:val="3"/>
            <w:vAlign w:val="center"/>
          </w:tcPr>
          <w:p w:rsidR="00000000" w:rsidDel="00000000" w:rsidP="00000000" w:rsidRDefault="00000000" w:rsidRPr="00000000" w14:paraId="000001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Programa: Escenarios Culturales Vivos para Transformar</w:t>
            </w:r>
            <w:r w:rsidDel="00000000" w:rsidR="00000000" w:rsidRPr="00000000">
              <w:rPr>
                <w:rtl w:val="0"/>
              </w:rPr>
            </w:r>
          </w:p>
        </w:tc>
      </w:tr>
      <w:tr>
        <w:trPr>
          <w:cantSplit w:val="0"/>
          <w:trHeight w:val="150" w:hRule="atLeast"/>
          <w:tblHeader w:val="0"/>
        </w:trPr>
        <w:tc>
          <w:tcPr>
            <w:gridSpan w:val="23"/>
            <w:vAlign w:val="center"/>
          </w:tcPr>
          <w:p w:rsidR="00000000" w:rsidDel="00000000" w:rsidP="00000000" w:rsidRDefault="00000000" w:rsidRPr="00000000" w14:paraId="0000011F">
            <w:pP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150" w:hRule="atLeast"/>
          <w:tblHeader w:val="0"/>
        </w:trPr>
        <w:tc>
          <w:tcPr>
            <w:gridSpan w:val="23"/>
            <w:vAlign w:val="center"/>
          </w:tcPr>
          <w:p w:rsidR="00000000" w:rsidDel="00000000" w:rsidP="00000000" w:rsidRDefault="00000000" w:rsidRPr="00000000" w14:paraId="0000013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INFORMACIÓN DEL PRODUCTO</w:t>
            </w:r>
          </w:p>
        </w:tc>
      </w:tr>
      <w:tr>
        <w:trPr>
          <w:cantSplit w:val="0"/>
          <w:trHeight w:val="73" w:hRule="atLeast"/>
          <w:tblHeader w:val="0"/>
        </w:trPr>
        <w:tc>
          <w:tcPr>
            <w:gridSpan w:val="4"/>
            <w:vAlign w:val="center"/>
          </w:tcPr>
          <w:p w:rsidR="00000000" w:rsidDel="00000000" w:rsidP="00000000" w:rsidRDefault="00000000" w:rsidRPr="00000000" w14:paraId="000001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Descripción</w:t>
            </w:r>
          </w:p>
        </w:tc>
        <w:tc>
          <w:tcPr>
            <w:gridSpan w:val="19"/>
            <w:vAlign w:val="center"/>
          </w:tcPr>
          <w:p w:rsidR="00000000" w:rsidDel="00000000" w:rsidP="00000000" w:rsidRDefault="00000000" w:rsidRPr="00000000" w14:paraId="00000151">
            <w:pPr>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Justificación de competencias: </w:t>
            </w:r>
            <w:r w:rsidDel="00000000" w:rsidR="00000000" w:rsidRPr="00000000">
              <w:rPr>
                <w:rFonts w:ascii="Times New Roman" w:cs="Times New Roman" w:eastAsia="Times New Roman" w:hAnsi="Times New Roman"/>
                <w:sz w:val="20"/>
                <w:szCs w:val="20"/>
                <w:rtl w:val="0"/>
              </w:rPr>
              <w:t xml:space="preserve">De conformidad con la disposición normativa, la entidad encargada de gestionar la política pública cultural de Cartagena y garantizar su eficaz cumplimiento y aplicación es el Instituto de Patrimonio y Cultura – IPCC, en virtud del Acuerdo Distrital 001 de 2003 El IPCC debe promover la participación de la ciudadanía en los escenarios culturales, garantizar -por medio de la asignación de recursos y el acompañamiento necesarios- la creación y promoción de actividades artísticas y culturales en el distrito, ejecutar planes de acción que aporten a la infraestructura cultural de la ciudad, de manera que se generen oportunidades de desarrollo tanto del sector propiamente, como de los agentes. Asimismo, debe proveer recursos o presupuesto para la realización de eventos, la creación de programas y la oferta de bienes y servicios acordes con las voluntades y necesidades del sector y sus miembros. De igual manera, debe concertar, formular y ejecutar documentos en pro del mejoramiento y fortalecimiento del sector, y promover la creación, el fomento y el fortalecimiento de las bibliotecas públicas y de los servicios complementarios que a través de ellas se prestan. En particular, el artículo 87 dice que 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(p. 15). </w:t>
            </w:r>
            <w:r w:rsidDel="00000000" w:rsidR="00000000" w:rsidRPr="00000000">
              <w:rPr>
                <w:rFonts w:ascii="Times New Roman" w:cs="Times New Roman" w:eastAsia="Times New Roman" w:hAnsi="Times New Roman"/>
                <w:b w:val="1"/>
                <w:bCs w:val="1"/>
                <w:sz w:val="20"/>
                <w:szCs w:val="20"/>
                <w:rtl w:val="0"/>
              </w:rPr>
              <w:t xml:space="preserve">L</w:t>
            </w:r>
            <w:r w:rsidDel="00000000" w:rsidR="00000000" w:rsidRPr="00000000">
              <w:rPr>
                <w:rFonts w:ascii="Times New Roman" w:cs="Times New Roman" w:eastAsia="Times New Roman" w:hAnsi="Times New Roman"/>
                <w:sz w:val="20"/>
                <w:szCs w:val="20"/>
                <w:rtl w:val="0"/>
              </w:rPr>
              <w:t xml:space="preserve">a Red Distrital de Bibliotecas Públicas, al ser la encargada de brindar apoyo técnico a las bibliotecas públicas de la ciudad, realiza la gestión organizacional y la coordinación de los procesos, programas y proyectos llevados a cabo en ellas. </w:t>
            </w:r>
            <w:r w:rsidDel="00000000" w:rsidR="00000000" w:rsidRPr="00000000">
              <w:rPr>
                <w:rtl w:val="0"/>
              </w:rPr>
            </w:r>
          </w:p>
          <w:p w:rsidR="00000000" w:rsidDel="00000000" w:rsidP="00000000" w:rsidRDefault="00000000" w:rsidRPr="00000000" w14:paraId="00000152">
            <w:pPr>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acuerdo con el mismo decreto, la Oficina Asesora de Comunicaciones y Prensa es corresponsable en la medida en que su objetivo es brindar asesoría “en la adopción de políticas en materia de comunicaciones, y dirigir y coordinar las actividades relacionadas con la prensa, radio y televisión” (p. 9), y tiene las funciones de “asesorar, coordinar, concertar y asistir al alcalde y a las dependencias de la administración en los asuntos relacionados con comunicación y prensa; elaborar los estudios para la adquisición de equipos y demás elementos de comunicación y prensa adecuados a las necesidades del Distrito; emitir boletines de prensa y otros servicios informativos en forma periódica” (p. 9), entre otras.</w:t>
            </w:r>
          </w:p>
          <w:p w:rsidR="00000000" w:rsidDel="00000000" w:rsidP="00000000" w:rsidRDefault="00000000" w:rsidRPr="00000000" w14:paraId="0000015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Descripción de la relación causal del problema:</w:t>
            </w:r>
            <w:r w:rsidDel="00000000" w:rsidR="00000000" w:rsidRPr="00000000">
              <w:rPr>
                <w:rFonts w:ascii="Times New Roman" w:cs="Times New Roman" w:eastAsia="Times New Roman" w:hAnsi="Times New Roman"/>
                <w:sz w:val="20"/>
                <w:szCs w:val="20"/>
                <w:rtl w:val="0"/>
              </w:rPr>
              <w:t xml:space="preserve">Este producto está relacionado con el (PC18) “Poco uso de los diferentes medios de comunicación para la difusión de las actividades culturales realizadas en la red de bibliotecas” Las bibliotecas se constituyen como espacios de construcción de tejido social pues en ellas se dan procesos que permiten la coexistencia de diferentes visiones de mundo, a su vez, las prácticas de la lectura, la escritura y la oralidad inciden en las formas de vida de las personas porque hacen posible el desarrollo de herramientas para pensar críticamente sus realidades, potenciar sus habilidades, reforzar sus conocimientos y expresarse. Sin embargo, en el distrito de Cartagena se requiere una Red Distrital de Bibliotecas Públicas que cuente con un enfoque diferencial, inclusivo y de derechos humanos, articulado con las entidades competentes para crear sinergias que contribuyan en la consolidación de un sistema de bibliotecas en la ciudad. En cuanto a la difusión de las agendas, no comunicar los servicios de las bibliotecas a la comunidad puede ser un problema significativo. Cuando la comunidad no está informada sobre los servicios y recursos disponibles en la biblioteca, es menos probable que los utilice. Esto lleva a la subutilización de los recursos y a la falta de aprovechamiento de los beneficios que las bibliotecas pueden ofrecer. Esto puede llevar a una desconexión entre las bibliotecas y la comunidad, y estas son instituciones comunitarias que deben ser accesibles y relevantes para las personas. La comunicación efectiva es esencial para establecer y mantener esa conexión.</w:t>
            </w: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color w:val="a5a5a5"/>
                <w:sz w:val="20"/>
                <w:szCs w:val="20"/>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Importancia comunitaria del punto crítico:</w:t>
            </w:r>
            <w:r w:rsidDel="00000000" w:rsidR="00000000" w:rsidRPr="00000000">
              <w:rPr>
                <w:rFonts w:ascii="Times New Roman" w:cs="Times New Roman" w:eastAsia="Times New Roman" w:hAnsi="Times New Roman"/>
                <w:sz w:val="20"/>
                <w:szCs w:val="20"/>
                <w:rtl w:val="0"/>
              </w:rPr>
              <w:t xml:space="preserve"> Debido a que son lugares de encuentro social, intercambio de prácticas, valores, tradiciones y memoria local, </w:t>
            </w:r>
            <w:r w:rsidDel="00000000" w:rsidR="00000000" w:rsidRPr="00000000">
              <w:rPr>
                <w:rFonts w:ascii="Times New Roman" w:cs="Times New Roman" w:eastAsia="Times New Roman" w:hAnsi="Times New Roman"/>
                <w:sz w:val="20"/>
                <w:szCs w:val="20"/>
                <w:highlight w:val="white"/>
                <w:rtl w:val="0"/>
              </w:rPr>
              <w:t xml:space="preserve">es necesario implementar acciones que impacten en su gestión organizativa. Es importante la comunicación organizacional al interior de la red, y también, su articulación con la comunidad y con las entidades competentes. En ese sentido, se aplica una estrategia comunicacional inclusiva, con amplia cobertura, programada, socializada con suficiente planeación, para difundir todas las actividades que realice la Red Distrital de Bibliotecas Públicas a través de diversos formatos, y de esa manera, conectarse con las necesidades y voluntades de las personas y los territorios.</w:t>
            </w:r>
            <w:r w:rsidDel="00000000" w:rsidR="00000000" w:rsidRPr="00000000">
              <w:rPr>
                <w:rFonts w:ascii="Times New Roman" w:cs="Times New Roman" w:eastAsia="Times New Roman" w:hAnsi="Times New Roman"/>
                <w:sz w:val="20"/>
                <w:szCs w:val="20"/>
                <w:highlight w:val="white"/>
                <w:rtl w:val="0"/>
              </w:rPr>
              <w:t xml:space="preserve">Situación que fue manifestada de manera recurrente por parte los asistentes a las Mesas de Concertación y Validación, donde, al priorizar factores estratégicos, se le valoró el (PC18) con una puntuación de 5 en la escala de Likert (1 es “nada relevante” y 5 “muy relevante”).</w:t>
            </w:r>
            <w:r w:rsidDel="00000000" w:rsidR="00000000" w:rsidRPr="00000000">
              <w:rPr>
                <w:rtl w:val="0"/>
              </w:rPr>
            </w:r>
          </w:p>
          <w:p w:rsidR="00000000" w:rsidDel="00000000" w:rsidP="00000000" w:rsidRDefault="00000000" w:rsidRPr="00000000" w14:paraId="00000158">
            <w:pPr>
              <w:ind w:left="720" w:firstLine="0"/>
              <w:jc w:val="both"/>
              <w:rPr>
                <w:rFonts w:ascii="Times New Roman" w:cs="Times New Roman" w:eastAsia="Times New Roman" w:hAnsi="Times New Roman"/>
                <w:color w:val="a5a5a5"/>
                <w:sz w:val="20"/>
                <w:szCs w:val="20"/>
              </w:rPr>
            </w:pPr>
            <w:r w:rsidDel="00000000" w:rsidR="00000000" w:rsidRPr="00000000">
              <w:rPr>
                <w:rtl w:val="0"/>
              </w:rPr>
            </w:r>
          </w:p>
          <w:p w:rsidR="00000000" w:rsidDel="00000000" w:rsidP="00000000" w:rsidRDefault="00000000" w:rsidRPr="00000000" w14:paraId="00000159">
            <w:pPr>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Elección del número de vigencias proyectadas para la implementación de producto: </w:t>
            </w:r>
            <w:r w:rsidDel="00000000" w:rsidR="00000000" w:rsidRPr="00000000">
              <w:rPr>
                <w:rFonts w:ascii="Times New Roman" w:cs="Times New Roman" w:eastAsia="Times New Roman" w:hAnsi="Times New Roman"/>
                <w:sz w:val="20"/>
                <w:szCs w:val="20"/>
                <w:rtl w:val="0"/>
              </w:rPr>
              <w:t xml:space="preserve">Se implementa durante los 12 años de vigencia del Plan Distrital, al ser un aspecto transversal a todos los procesos, agendas y programas llevados a cabo por las bibliotecas de la red distrital, importante para el adecuado funcionamiento de las bibliotecas, con alto impacto en su gestión.</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6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Indicador del producto</w:t>
            </w:r>
          </w:p>
        </w:tc>
        <w:tc>
          <w:tcPr>
            <w:gridSpan w:val="17"/>
            <w:vAlign w:val="center"/>
          </w:tcPr>
          <w:p w:rsidR="00000000" w:rsidDel="00000000" w:rsidP="00000000" w:rsidRDefault="00000000" w:rsidRPr="00000000" w14:paraId="00000172">
            <w:pPr>
              <w:jc w:val="both"/>
              <w:rPr>
                <w:rFonts w:ascii="Times New Roman" w:cs="Times New Roman" w:eastAsia="Times New Roman" w:hAnsi="Times New Roman"/>
                <w:color w:val="1f1f1f"/>
                <w:sz w:val="20"/>
                <w:szCs w:val="20"/>
                <w:highlight w:val="white"/>
              </w:rPr>
            </w:pPr>
            <w:r w:rsidDel="00000000" w:rsidR="00000000" w:rsidRPr="00000000">
              <w:rPr>
                <w:rFonts w:ascii="Times New Roman" w:cs="Times New Roman" w:eastAsia="Times New Roman" w:hAnsi="Times New Roman"/>
                <w:color w:val="1f1f1f"/>
                <w:sz w:val="20"/>
                <w:szCs w:val="20"/>
                <w:highlight w:val="white"/>
                <w:rtl w:val="0"/>
              </w:rPr>
              <w:t xml:space="preserve">Número de eventos y actividades de promoción y difusión de los servicios y actividades de la Red Distrital de Bibliotecas Públicas realizados y publicitados.</w:t>
            </w:r>
          </w:p>
        </w:tc>
      </w:tr>
      <w:tr>
        <w:trPr>
          <w:cantSplit w:val="0"/>
          <w:trHeight w:val="73" w:hRule="atLeast"/>
          <w:tblHeader w:val="0"/>
        </w:trPr>
        <w:tc>
          <w:tcPr>
            <w:gridSpan w:val="6"/>
            <w:vAlign w:val="center"/>
          </w:tcPr>
          <w:p w:rsidR="00000000" w:rsidDel="00000000" w:rsidP="00000000" w:rsidRDefault="00000000" w:rsidRPr="00000000" w14:paraId="0000018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Fórmula de cálculo de los indicadores del producto</w:t>
            </w:r>
          </w:p>
        </w:tc>
        <w:tc>
          <w:tcPr>
            <w:gridSpan w:val="17"/>
            <w:vAlign w:val="center"/>
          </w:tcPr>
          <w:p w:rsidR="00000000" w:rsidDel="00000000" w:rsidP="00000000" w:rsidRDefault="00000000" w:rsidRPr="00000000" w14:paraId="00000189">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color w:val="1f1f1f"/>
                <w:sz w:val="20"/>
                <w:szCs w:val="20"/>
                <w:highlight w:val="white"/>
                <w:rtl w:val="0"/>
              </w:rPr>
              <w:t xml:space="preserve">Sumatoria de eventos y actividades de promoción y difusión de los servicios y actividades de la Red Distrital de Bibliotecas Públicas realizados y publicitados.</w:t>
            </w:r>
            <w:r w:rsidDel="00000000" w:rsidR="00000000" w:rsidRPr="00000000">
              <w:rPr>
                <w:rFonts w:ascii="Times New Roman" w:cs="Times New Roman" w:eastAsia="Times New Roman" w:hAnsi="Times New Roman"/>
                <w:color w:val="1f1f1f"/>
                <w:sz w:val="20"/>
                <w:szCs w:val="20"/>
                <w:highlight w:val="white"/>
                <w:rtl w:val="0"/>
              </w:rPr>
              <w:t xml:space="preserve">  </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base del producto</w:t>
            </w:r>
          </w:p>
        </w:tc>
        <w:tc>
          <w:tcPr>
            <w:gridSpan w:val="7"/>
            <w:vAlign w:val="center"/>
          </w:tcPr>
          <w:p w:rsidR="00000000" w:rsidDel="00000000" w:rsidP="00000000" w:rsidRDefault="00000000" w:rsidRPr="00000000" w14:paraId="000001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f1f1f"/>
                <w:sz w:val="20"/>
                <w:szCs w:val="20"/>
                <w:highlight w:val="white"/>
                <w:rtl w:val="0"/>
              </w:rPr>
              <w:t xml:space="preserve">124</w:t>
            </w:r>
            <w:r w:rsidDel="00000000" w:rsidR="00000000" w:rsidRPr="00000000">
              <w:rPr>
                <w:rtl w:val="0"/>
              </w:rPr>
            </w:r>
          </w:p>
        </w:tc>
        <w:tc>
          <w:tcPr>
            <w:gridSpan w:val="4"/>
            <w:vAlign w:val="center"/>
          </w:tcPr>
          <w:p w:rsidR="00000000" w:rsidDel="00000000" w:rsidP="00000000" w:rsidRDefault="00000000" w:rsidRPr="00000000" w14:paraId="000001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Fecha de la LB</w:t>
            </w:r>
          </w:p>
        </w:tc>
        <w:tc>
          <w:tcPr>
            <w:gridSpan w:val="3"/>
            <w:vAlign w:val="center"/>
          </w:tcPr>
          <w:p w:rsidR="00000000" w:rsidDel="00000000" w:rsidP="00000000" w:rsidRDefault="00000000" w:rsidRPr="00000000" w14:paraId="000001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w:t>
            </w:r>
          </w:p>
        </w:tc>
        <w:tc>
          <w:tcPr>
            <w:vAlign w:val="center"/>
          </w:tcPr>
          <w:p w:rsidR="00000000" w:rsidDel="00000000" w:rsidP="00000000" w:rsidRDefault="00000000" w:rsidRPr="00000000" w14:paraId="000001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de la LB </w:t>
            </w:r>
          </w:p>
        </w:tc>
        <w:tc>
          <w:tcPr>
            <w:gridSpan w:val="2"/>
            <w:vAlign w:val="center"/>
          </w:tcPr>
          <w:p w:rsidR="00000000" w:rsidDel="00000000" w:rsidP="00000000" w:rsidRDefault="00000000" w:rsidRPr="00000000" w14:paraId="000001AF">
            <w:pPr>
              <w:jc w:val="both"/>
              <w:rPr>
                <w:rFonts w:ascii="Times New Roman" w:cs="Times New Roman" w:eastAsia="Times New Roman" w:hAnsi="Times New Roman"/>
                <w:color w:val="bfbfbf"/>
                <w:sz w:val="20"/>
                <w:szCs w:val="20"/>
              </w:rPr>
            </w:pPr>
            <w:r w:rsidDel="00000000" w:rsidR="00000000" w:rsidRPr="00000000">
              <w:rPr>
                <w:rFonts w:ascii="Times New Roman" w:cs="Times New Roman" w:eastAsia="Times New Roman" w:hAnsi="Times New Roman"/>
                <w:color w:val="1f1f1f"/>
                <w:sz w:val="20"/>
                <w:szCs w:val="20"/>
                <w:highlight w:val="white"/>
                <w:rtl w:val="0"/>
              </w:rPr>
              <w:t xml:space="preserve">IPCC</w:t>
            </w:r>
            <w:r w:rsidDel="00000000" w:rsidR="00000000" w:rsidRPr="00000000">
              <w:rPr>
                <w:rtl w:val="0"/>
              </w:rPr>
            </w:r>
          </w:p>
        </w:tc>
      </w:tr>
      <w:tr>
        <w:trPr>
          <w:cantSplit w:val="0"/>
          <w:trHeight w:val="964.921875" w:hRule="atLeast"/>
          <w:tblHeader w:val="0"/>
        </w:trPr>
        <w:tc>
          <w:tcPr>
            <w:gridSpan w:val="6"/>
            <w:vAlign w:val="center"/>
          </w:tcPr>
          <w:p w:rsidR="00000000" w:rsidDel="00000000" w:rsidP="00000000" w:rsidRDefault="00000000" w:rsidRPr="00000000" w14:paraId="000001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Producto esperado (meta total)</w:t>
            </w:r>
          </w:p>
        </w:tc>
        <w:tc>
          <w:tcPr>
            <w:gridSpan w:val="17"/>
            <w:vAlign w:val="center"/>
          </w:tcPr>
          <w:p w:rsidR="00000000" w:rsidDel="00000000" w:rsidP="00000000" w:rsidRDefault="00000000" w:rsidRPr="00000000" w14:paraId="000001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Meta total:</w:t>
            </w:r>
            <w:r w:rsidDel="00000000" w:rsidR="00000000" w:rsidRPr="00000000">
              <w:rPr>
                <w:rFonts w:ascii="Times New Roman" w:cs="Times New Roman" w:eastAsia="Times New Roman" w:hAnsi="Times New Roman"/>
                <w:sz w:val="20"/>
                <w:szCs w:val="20"/>
                <w:rtl w:val="0"/>
              </w:rPr>
              <w:t xml:space="preserve">5052 eventos y actividades de promoción y difusión de los servicios y actividades de la Red Distrital de Bibliotecas Públicas realizados y publicitados.</w:t>
            </w:r>
          </w:p>
          <w:p w:rsidR="00000000" w:rsidDel="00000000" w:rsidP="00000000" w:rsidRDefault="00000000" w:rsidRPr="00000000" w14:paraId="000001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usa el formato digital para la difusión masiva del mismo, y las diferentes redes sociales (whatsApp, Facebook, Instagram, Twitter, TikTok, etc.) para diversificar los formatos y audiencias.  </w:t>
            </w:r>
          </w:p>
        </w:tc>
      </w:tr>
      <w:tr>
        <w:trPr>
          <w:cantSplit w:val="0"/>
          <w:trHeight w:val="73" w:hRule="atLeast"/>
          <w:tblHeader w:val="0"/>
        </w:trPr>
        <w:tc>
          <w:tcPr>
            <w:gridSpan w:val="6"/>
            <w:vAlign w:val="center"/>
          </w:tcPr>
          <w:p w:rsidR="00000000" w:rsidDel="00000000" w:rsidP="00000000" w:rsidRDefault="00000000" w:rsidRPr="00000000" w14:paraId="000001C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Vigencias de implementación proyectadas</w:t>
            </w:r>
            <w:r w:rsidDel="00000000" w:rsidR="00000000" w:rsidRPr="00000000">
              <w:rPr>
                <w:rtl w:val="0"/>
              </w:rPr>
            </w:r>
          </w:p>
        </w:tc>
        <w:tc>
          <w:tcPr>
            <w:gridSpan w:val="5"/>
            <w:vAlign w:val="center"/>
          </w:tcPr>
          <w:p w:rsidR="00000000" w:rsidDel="00000000" w:rsidP="00000000" w:rsidRDefault="00000000" w:rsidRPr="00000000" w14:paraId="000001CF">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2026 2027 2028 2029 2030 2031 2031 2033 2034   2035    2036   2037</w:t>
            </w:r>
            <w:r w:rsidDel="00000000" w:rsidR="00000000" w:rsidRPr="00000000">
              <w:rPr>
                <w:rtl w:val="0"/>
              </w:rPr>
            </w:r>
          </w:p>
        </w:tc>
        <w:tc>
          <w:tcPr>
            <w:vAlign w:val="center"/>
          </w:tcPr>
          <w:p w:rsidR="00000000" w:rsidDel="00000000" w:rsidP="00000000" w:rsidRDefault="00000000" w:rsidRPr="00000000" w14:paraId="000001D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Códigos de vigencias</w:t>
            </w:r>
          </w:p>
        </w:tc>
        <w:tc>
          <w:tcPr>
            <w:gridSpan w:val="11"/>
            <w:vAlign w:val="center"/>
          </w:tcPr>
          <w:p w:rsidR="00000000" w:rsidDel="00000000" w:rsidP="00000000" w:rsidRDefault="00000000" w:rsidRPr="00000000" w14:paraId="000001D5">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1, 2, 3, 4, 5, 6, 7, 8, 9, 10, 11, 12</w:t>
            </w: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por vigencia </w:t>
            </w:r>
          </w:p>
        </w:tc>
        <w:tc>
          <w:tcPr>
            <w:gridSpan w:val="17"/>
            <w:vAlign w:val="cente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0"/>
                <w:szCs w:val="20"/>
              </w:rPr>
            </w:pPr>
            <w:r w:rsidDel="00000000" w:rsidR="00000000" w:rsidRPr="00000000">
              <w:rPr>
                <w:rtl w:val="0"/>
              </w:rPr>
            </w:r>
          </w:p>
          <w:tbl>
            <w:tblPr>
              <w:tblStyle w:val="Table2"/>
              <w:tblW w:w="8233.999999999998" w:type="dxa"/>
              <w:jc w:val="left"/>
              <w:tblLayout w:type="fixed"/>
              <w:tblLook w:val="0400"/>
            </w:tblPr>
            <w:tblGrid>
              <w:gridCol w:w="749"/>
              <w:gridCol w:w="750"/>
              <w:gridCol w:w="750"/>
              <w:gridCol w:w="750"/>
              <w:gridCol w:w="749"/>
              <w:gridCol w:w="749"/>
              <w:gridCol w:w="749"/>
              <w:gridCol w:w="749"/>
              <w:gridCol w:w="749"/>
              <w:gridCol w:w="749"/>
              <w:gridCol w:w="741"/>
              <w:tblGridChange w:id="0">
                <w:tblGrid>
                  <w:gridCol w:w="749"/>
                  <w:gridCol w:w="750"/>
                  <w:gridCol w:w="750"/>
                  <w:gridCol w:w="750"/>
                  <w:gridCol w:w="749"/>
                  <w:gridCol w:w="749"/>
                  <w:gridCol w:w="749"/>
                  <w:gridCol w:w="749"/>
                  <w:gridCol w:w="749"/>
                  <w:gridCol w:w="749"/>
                  <w:gridCol w:w="741"/>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2">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Año 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Año 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5</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346 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D">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Año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E">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Año 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396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496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546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596</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E">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3">
                  <w:pPr>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5">
                  <w:pPr>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9">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646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4">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5">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F">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5052</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4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24A">
            <w:pPr>
              <w:jc w:val="center"/>
              <w:rPr>
                <w:rFonts w:ascii="Times New Roman" w:cs="Times New Roman" w:eastAsia="Times New Roman" w:hAnsi="Times New Roman"/>
                <w:b w:val="1"/>
                <w:bCs w:val="1"/>
                <w:i w:val="1"/>
                <w:iCs w:val="1"/>
                <w:color w:val="bfbfbf"/>
                <w:sz w:val="20"/>
                <w:szCs w:val="20"/>
              </w:rPr>
            </w:pP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2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Periodicidad de medición del indicador</w:t>
            </w:r>
          </w:p>
        </w:tc>
        <w:tc>
          <w:tcPr>
            <w:gridSpan w:val="17"/>
            <w:vAlign w:val="center"/>
          </w:tcPr>
          <w:p w:rsidR="00000000" w:rsidDel="00000000" w:rsidP="00000000" w:rsidRDefault="00000000" w:rsidRPr="00000000" w14:paraId="000002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Semestral</w:t>
            </w:r>
          </w:p>
        </w:tc>
      </w:tr>
      <w:tr>
        <w:trPr>
          <w:cantSplit w:val="0"/>
          <w:trHeight w:val="73" w:hRule="atLeast"/>
          <w:tblHeader w:val="0"/>
        </w:trPr>
        <w:tc>
          <w:tcPr>
            <w:gridSpan w:val="7"/>
            <w:vAlign w:val="center"/>
          </w:tcPr>
          <w:p w:rsidR="00000000" w:rsidDel="00000000" w:rsidP="00000000" w:rsidRDefault="00000000" w:rsidRPr="00000000" w14:paraId="0000027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Enfoque del producto</w:t>
            </w:r>
          </w:p>
        </w:tc>
        <w:tc>
          <w:tcPr>
            <w:gridSpan w:val="16"/>
            <w:vAlign w:val="center"/>
          </w:tcPr>
          <w:p w:rsidR="00000000" w:rsidDel="00000000" w:rsidP="00000000" w:rsidRDefault="00000000" w:rsidRPr="00000000" w14:paraId="00000279">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Derechos Humanos; Diferencial; Territorial</w:t>
            </w:r>
            <w:r w:rsidDel="00000000" w:rsidR="00000000" w:rsidRPr="00000000">
              <w:rPr>
                <w:rtl w:val="0"/>
              </w:rPr>
            </w:r>
          </w:p>
        </w:tc>
      </w:tr>
      <w:tr>
        <w:trPr>
          <w:cantSplit w:val="0"/>
          <w:trHeight w:val="73" w:hRule="atLeast"/>
          <w:tblHeader w:val="0"/>
        </w:trPr>
        <w:tc>
          <w:tcPr>
            <w:gridSpan w:val="7"/>
            <w:vAlign w:val="center"/>
          </w:tcPr>
          <w:p w:rsidR="00000000" w:rsidDel="00000000" w:rsidP="00000000" w:rsidRDefault="00000000" w:rsidRPr="00000000" w14:paraId="000002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de desarrollo sostenible -ODS-</w:t>
            </w:r>
          </w:p>
        </w:tc>
        <w:tc>
          <w:tcPr>
            <w:gridSpan w:val="8"/>
            <w:vAlign w:val="center"/>
          </w:tcPr>
          <w:p w:rsidR="00000000" w:rsidDel="00000000" w:rsidP="00000000" w:rsidRDefault="00000000" w:rsidRPr="00000000" w14:paraId="00000290">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Educación de Calidad</w:t>
            </w:r>
            <w:r w:rsidDel="00000000" w:rsidR="00000000" w:rsidRPr="00000000">
              <w:rPr>
                <w:rtl w:val="0"/>
              </w:rPr>
            </w:r>
          </w:p>
        </w:tc>
        <w:tc>
          <w:tcPr>
            <w:gridSpan w:val="7"/>
            <w:vAlign w:val="center"/>
          </w:tcPr>
          <w:p w:rsidR="00000000" w:rsidDel="00000000" w:rsidP="00000000" w:rsidRDefault="00000000" w:rsidRPr="00000000" w14:paraId="0000029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ODS</w:t>
            </w:r>
          </w:p>
        </w:tc>
        <w:tc>
          <w:tcPr>
            <w:vAlign w:val="center"/>
          </w:tcPr>
          <w:p w:rsidR="00000000" w:rsidDel="00000000" w:rsidP="00000000" w:rsidRDefault="00000000" w:rsidRPr="00000000" w14:paraId="0000029F">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i w:val="1"/>
                <w:iCs w:val="1"/>
                <w:sz w:val="20"/>
                <w:szCs w:val="20"/>
                <w:rtl w:val="0"/>
              </w:rPr>
              <w:t xml:space="preserve">ODS 4 </w:t>
            </w:r>
            <w:r w:rsidDel="00000000" w:rsidR="00000000" w:rsidRPr="00000000">
              <w:rPr>
                <w:rtl w:val="0"/>
              </w:rPr>
            </w:r>
          </w:p>
        </w:tc>
      </w:tr>
      <w:tr>
        <w:trPr>
          <w:cantSplit w:val="0"/>
          <w:trHeight w:val="73" w:hRule="atLeast"/>
          <w:tblHeader w:val="0"/>
        </w:trPr>
        <w:tc>
          <w:tcPr>
            <w:gridSpan w:val="23"/>
            <w:vAlign w:val="center"/>
          </w:tcPr>
          <w:p w:rsidR="00000000" w:rsidDel="00000000" w:rsidP="00000000" w:rsidRDefault="00000000" w:rsidRPr="00000000" w14:paraId="000002A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RESPONSABLE DEL PRODUCTO </w:t>
            </w:r>
          </w:p>
        </w:tc>
      </w:tr>
      <w:tr>
        <w:trPr>
          <w:cantSplit w:val="0"/>
          <w:trHeight w:val="73" w:hRule="atLeast"/>
          <w:tblHeader w:val="0"/>
        </w:trPr>
        <w:tc>
          <w:tcPr>
            <w:gridSpan w:val="5"/>
            <w:vAlign w:val="center"/>
          </w:tcPr>
          <w:p w:rsidR="00000000" w:rsidDel="00000000" w:rsidP="00000000" w:rsidRDefault="00000000" w:rsidRPr="00000000" w14:paraId="000002B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funcionario responsable del indicador</w:t>
            </w:r>
          </w:p>
        </w:tc>
        <w:tc>
          <w:tcPr>
            <w:gridSpan w:val="3"/>
            <w:vAlign w:val="center"/>
          </w:tcPr>
          <w:p w:rsidR="00000000" w:rsidDel="00000000" w:rsidP="00000000" w:rsidRDefault="00000000" w:rsidRPr="00000000" w14:paraId="000002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Patricia del Carmen Diaz Castro</w:t>
            </w:r>
          </w:p>
        </w:tc>
        <w:tc>
          <w:tcPr>
            <w:gridSpan w:val="2"/>
            <w:vAlign w:val="center"/>
          </w:tcPr>
          <w:p w:rsidR="00000000" w:rsidDel="00000000" w:rsidP="00000000" w:rsidRDefault="00000000" w:rsidRPr="00000000" w14:paraId="000002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Dependencia </w:t>
            </w:r>
          </w:p>
        </w:tc>
        <w:tc>
          <w:tcPr>
            <w:gridSpan w:val="4"/>
            <w:vAlign w:val="center"/>
          </w:tcPr>
          <w:p w:rsidR="00000000" w:rsidDel="00000000" w:rsidP="00000000" w:rsidRDefault="00000000" w:rsidRPr="00000000" w14:paraId="000002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División de promoción cultural</w:t>
            </w:r>
          </w:p>
        </w:tc>
        <w:tc>
          <w:tcPr>
            <w:gridSpan w:val="4"/>
            <w:vAlign w:val="center"/>
          </w:tcPr>
          <w:p w:rsidR="00000000" w:rsidDel="00000000" w:rsidP="00000000" w:rsidRDefault="00000000" w:rsidRPr="00000000" w14:paraId="000002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Correo electrónico </w:t>
            </w:r>
          </w:p>
        </w:tc>
        <w:tc>
          <w:tcPr>
            <w:gridSpan w:val="5"/>
            <w:vAlign w:val="center"/>
          </w:tcPr>
          <w:p w:rsidR="00000000" w:rsidDel="00000000" w:rsidP="00000000" w:rsidRDefault="00000000" w:rsidRPr="00000000" w14:paraId="000002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coord.bibliotecasyfiestas@ipcc.gov.co</w:t>
            </w:r>
          </w:p>
        </w:tc>
      </w:tr>
    </w:tbl>
    <w:p w:rsidR="00000000" w:rsidDel="00000000" w:rsidP="00000000" w:rsidRDefault="00000000" w:rsidRPr="00000000" w14:paraId="000002CE">
      <w:pPr>
        <w:rPr>
          <w:rFonts w:ascii="Times New Roman" w:cs="Times New Roman" w:eastAsia="Times New Roman" w:hAnsi="Times New Roman"/>
          <w:b w:val="1"/>
          <w:bCs w:val="1"/>
          <w:sz w:val="20"/>
          <w:szCs w:val="20"/>
        </w:rPr>
      </w:pPr>
      <w:r w:rsidDel="00000000" w:rsidR="00000000" w:rsidRPr="00000000">
        <w:rPr>
          <w:rtl w:val="0"/>
        </w:rPr>
      </w:r>
    </w:p>
    <w:tbl>
      <w:tblPr>
        <w:tblStyle w:val="Table3"/>
        <w:tblW w:w="11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2412"/>
        <w:gridCol w:w="1118"/>
        <w:gridCol w:w="2366"/>
        <w:gridCol w:w="925"/>
        <w:gridCol w:w="2962"/>
        <w:tblGridChange w:id="0">
          <w:tblGrid>
            <w:gridCol w:w="1269"/>
            <w:gridCol w:w="2412"/>
            <w:gridCol w:w="1118"/>
            <w:gridCol w:w="2366"/>
            <w:gridCol w:w="925"/>
            <w:gridCol w:w="2962"/>
          </w:tblGrid>
        </w:tblGridChange>
      </w:tblGrid>
      <w:tr>
        <w:trPr>
          <w:cantSplit w:val="0"/>
          <w:tblHeader w:val="0"/>
        </w:trPr>
        <w:tc>
          <w:tcPr>
            <w:vAlign w:val="center"/>
          </w:tcPr>
          <w:p w:rsidR="00000000" w:rsidDel="00000000" w:rsidP="00000000" w:rsidRDefault="00000000" w:rsidRPr="00000000" w14:paraId="000002C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Viabilidad técnica </w:t>
            </w:r>
          </w:p>
          <w:p w:rsidR="00000000" w:rsidDel="00000000" w:rsidP="00000000" w:rsidRDefault="00000000" w:rsidRPr="00000000" w14:paraId="000002D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SDP</w:t>
            </w:r>
          </w:p>
        </w:tc>
        <w:tc>
          <w:tcPr>
            <w:vAlign w:val="center"/>
          </w:tcPr>
          <w:p w:rsidR="00000000" w:rsidDel="00000000" w:rsidP="00000000" w:rsidRDefault="00000000" w:rsidRPr="00000000" w14:paraId="000002D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color w:val="a5a5a5"/>
                <w:sz w:val="20"/>
                <w:szCs w:val="20"/>
                <w:rtl w:val="0"/>
              </w:rPr>
              <w:t xml:space="preserve">Visto bueno: Secretaría de Planeación Distrital</w:t>
            </w:r>
            <w:r w:rsidDel="00000000" w:rsidR="00000000" w:rsidRPr="00000000">
              <w:rPr>
                <w:rtl w:val="0"/>
              </w:rPr>
            </w:r>
          </w:p>
        </w:tc>
        <w:tc>
          <w:tcPr>
            <w:vAlign w:val="center"/>
          </w:tcPr>
          <w:p w:rsidR="00000000" w:rsidDel="00000000" w:rsidP="00000000" w:rsidRDefault="00000000" w:rsidRPr="00000000" w14:paraId="000002D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Aprobación Entidad coordinadora</w:t>
            </w:r>
          </w:p>
        </w:tc>
        <w:tc>
          <w:tcPr>
            <w:vAlign w:val="center"/>
          </w:tcPr>
          <w:p w:rsidR="00000000" w:rsidDel="00000000" w:rsidP="00000000" w:rsidRDefault="00000000" w:rsidRPr="00000000" w14:paraId="000002D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color w:val="a5a5a5"/>
                <w:sz w:val="20"/>
                <w:szCs w:val="20"/>
                <w:rtl w:val="0"/>
              </w:rPr>
              <w:t xml:space="preserve">Visto bueno: Entidad coordinadora de política</w:t>
            </w:r>
            <w:r w:rsidDel="00000000" w:rsidR="00000000" w:rsidRPr="00000000">
              <w:rPr>
                <w:rtl w:val="0"/>
              </w:rPr>
            </w:r>
          </w:p>
        </w:tc>
        <w:tc>
          <w:tcPr>
            <w:vAlign w:val="center"/>
          </w:tcPr>
          <w:p w:rsidR="00000000" w:rsidDel="00000000" w:rsidP="00000000" w:rsidRDefault="00000000" w:rsidRPr="00000000" w14:paraId="000002D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Viabilidad </w:t>
            </w:r>
          </w:p>
          <w:p w:rsidR="00000000" w:rsidDel="00000000" w:rsidP="00000000" w:rsidRDefault="00000000" w:rsidRPr="00000000" w14:paraId="000002D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responsable </w:t>
            </w:r>
          </w:p>
        </w:tc>
        <w:tc>
          <w:tcPr>
            <w:vAlign w:val="center"/>
          </w:tcPr>
          <w:p w:rsidR="00000000" w:rsidDel="00000000" w:rsidP="00000000" w:rsidRDefault="00000000" w:rsidRPr="00000000" w14:paraId="000002D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color w:val="a5a5a5"/>
                <w:sz w:val="20"/>
                <w:szCs w:val="20"/>
                <w:rtl w:val="0"/>
              </w:rPr>
              <w:t xml:space="preserve">Visto bueno: Entidad proyectada para la implementación</w:t>
            </w:r>
            <w:r w:rsidDel="00000000" w:rsidR="00000000" w:rsidRPr="00000000">
              <w:rPr>
                <w:rtl w:val="0"/>
              </w:rPr>
            </w:r>
          </w:p>
        </w:tc>
      </w:tr>
    </w:tbl>
    <w:p w:rsidR="00000000" w:rsidDel="00000000" w:rsidP="00000000" w:rsidRDefault="00000000" w:rsidRPr="00000000" w14:paraId="000002D7">
      <w:pPr>
        <w:rPr>
          <w:rFonts w:ascii="Times New Roman" w:cs="Times New Roman" w:eastAsia="Times New Roman" w:hAnsi="Times New Roman"/>
          <w:sz w:val="20"/>
          <w:szCs w:val="20"/>
        </w:rPr>
      </w:pPr>
      <w:r w:rsidDel="00000000" w:rsidR="00000000" w:rsidRPr="00000000">
        <w:rPr>
          <w:rtl w:val="0"/>
        </w:rPr>
      </w:r>
    </w:p>
    <w:sectPr>
      <w:headerReference r:id="rId8" w:type="default"/>
      <w:footerReference r:id="rId9" w:type="default"/>
      <w:footerReference r:id="rId10" w:type="first"/>
      <w:footerReference r:id="rId11" w:type="even"/>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5113338</wp:posOffset>
              </wp:positionH>
              <wp:positionV relativeFrom="paragraph">
                <wp:posOffset>-4761</wp:posOffset>
              </wp:positionV>
              <wp:extent cx="1292225" cy="354965"/>
              <wp:effectExtent b="0" l="0" r="0" t="0"/>
              <wp:wrapNone/>
              <wp:docPr descr="Información Pública" id="2069863194" name=""/>
              <a:graphic>
                <a:graphicData uri="http://schemas.microsoft.com/office/word/2010/wordprocessingShape">
                  <wps:wsp>
                    <wps:cNvSpPr/>
                    <wps:cNvPr id="3" name="Shape 3"/>
                    <wps:spPr>
                      <a:xfrm>
                        <a:off x="4704650" y="3607280"/>
                        <a:ext cx="128270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5113338</wp:posOffset>
              </wp:positionH>
              <wp:positionV relativeFrom="paragraph">
                <wp:posOffset>-4761</wp:posOffset>
              </wp:positionV>
              <wp:extent cx="1292225" cy="354965"/>
              <wp:effectExtent b="0" l="0" r="0" t="0"/>
              <wp:wrapNone/>
              <wp:docPr descr="Información Pública" id="2069863194" name="image3.png"/>
              <a:graphic>
                <a:graphicData uri="http://schemas.openxmlformats.org/drawingml/2006/picture">
                  <pic:pic>
                    <pic:nvPicPr>
                      <pic:cNvPr descr="Información Pública" id="0" name="image3.png"/>
                      <pic:cNvPicPr preferRelativeResize="0"/>
                    </pic:nvPicPr>
                    <pic:blipFill>
                      <a:blip r:embed="rId1"/>
                      <a:srcRect/>
                      <a:stretch>
                        <a:fillRect/>
                      </a:stretch>
                    </pic:blipFill>
                    <pic:spPr>
                      <a:xfrm>
                        <a:off x="0" y="0"/>
                        <a:ext cx="1292225"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5113338</wp:posOffset>
              </wp:positionH>
              <wp:positionV relativeFrom="paragraph">
                <wp:posOffset>-4761</wp:posOffset>
              </wp:positionV>
              <wp:extent cx="1292225" cy="354965"/>
              <wp:effectExtent b="0" l="0" r="0" t="0"/>
              <wp:wrapNone/>
              <wp:docPr descr="Información Pública" id="2069863195" name=""/>
              <a:graphic>
                <a:graphicData uri="http://schemas.microsoft.com/office/word/2010/wordprocessingShape">
                  <wps:wsp>
                    <wps:cNvSpPr/>
                    <wps:cNvPr id="4" name="Shape 4"/>
                    <wps:spPr>
                      <a:xfrm>
                        <a:off x="4704650" y="3607280"/>
                        <a:ext cx="128270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5113338</wp:posOffset>
              </wp:positionH>
              <wp:positionV relativeFrom="paragraph">
                <wp:posOffset>-4761</wp:posOffset>
              </wp:positionV>
              <wp:extent cx="1292225" cy="354965"/>
              <wp:effectExtent b="0" l="0" r="0" t="0"/>
              <wp:wrapNone/>
              <wp:docPr descr="Información Pública" id="2069863195" name="image4.png"/>
              <a:graphic>
                <a:graphicData uri="http://schemas.openxmlformats.org/drawingml/2006/picture">
                  <pic:pic>
                    <pic:nvPicPr>
                      <pic:cNvPr descr="Información Pública" id="0" name="image4.png"/>
                      <pic:cNvPicPr preferRelativeResize="0"/>
                    </pic:nvPicPr>
                    <pic:blipFill>
                      <a:blip r:embed="rId1"/>
                      <a:srcRect/>
                      <a:stretch>
                        <a:fillRect/>
                      </a:stretch>
                    </pic:blipFill>
                    <pic:spPr>
                      <a:xfrm>
                        <a:off x="0" y="0"/>
                        <a:ext cx="1292225" cy="3549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5113338</wp:posOffset>
              </wp:positionH>
              <wp:positionV relativeFrom="paragraph">
                <wp:posOffset>-4761</wp:posOffset>
              </wp:positionV>
              <wp:extent cx="1292225" cy="354965"/>
              <wp:effectExtent b="0" l="0" r="0" t="0"/>
              <wp:wrapNone/>
              <wp:docPr descr="Información Pública" id="2069863193" name=""/>
              <a:graphic>
                <a:graphicData uri="http://schemas.microsoft.com/office/word/2010/wordprocessingShape">
                  <wps:wsp>
                    <wps:cNvSpPr/>
                    <wps:cNvPr id="2" name="Shape 2"/>
                    <wps:spPr>
                      <a:xfrm>
                        <a:off x="4704650" y="3607280"/>
                        <a:ext cx="1282700"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5113338</wp:posOffset>
              </wp:positionH>
              <wp:positionV relativeFrom="paragraph">
                <wp:posOffset>-4761</wp:posOffset>
              </wp:positionV>
              <wp:extent cx="1292225" cy="354965"/>
              <wp:effectExtent b="0" l="0" r="0" t="0"/>
              <wp:wrapNone/>
              <wp:docPr descr="Información Pública" id="2069863193" name="image2.png"/>
              <a:graphic>
                <a:graphicData uri="http://schemas.openxmlformats.org/drawingml/2006/picture">
                  <pic:pic>
                    <pic:nvPicPr>
                      <pic:cNvPr descr="Información Pública" id="0" name="image2.png"/>
                      <pic:cNvPicPr preferRelativeResize="0"/>
                    </pic:nvPicPr>
                    <pic:blipFill>
                      <a:blip r:embed="rId1"/>
                      <a:srcRect/>
                      <a:stretch>
                        <a:fillRect/>
                      </a:stretch>
                    </pic:blipFill>
                    <pic:spPr>
                      <a:xfrm>
                        <a:off x="0" y="0"/>
                        <a:ext cx="1292225"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4"/>
      <w:tblW w:w="1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567"/>
      <w:tblGridChange w:id="0">
        <w:tblGrid>
          <w:gridCol w:w="1271"/>
          <w:gridCol w:w="567"/>
        </w:tblGrid>
      </w:tblGridChange>
    </w:tblGrid>
    <w:tr>
      <w:trPr>
        <w:cantSplit w:val="0"/>
        <w:tblHeader w:val="0"/>
      </w:trPr>
      <w:tc>
        <w:tcPr/>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No. de Página</w:t>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center" w:leader="none" w:pos="4419"/>
        <w:tab w:val="right" w:leader="none" w:pos="8838"/>
      </w:tabs>
      <w:rPr>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paragraph" w:styleId="Piedepgina">
    <w:name w:val="footer"/>
    <w:basedOn w:val="Normal"/>
    <w:link w:val="PiedepginaCar"/>
    <w:uiPriority w:val="99"/>
    <w:unhideWhenUsed w:val="1"/>
    <w:rsid w:val="00D12EC2"/>
    <w:pPr>
      <w:tabs>
        <w:tab w:val="center" w:pos="4419"/>
        <w:tab w:val="right" w:pos="8838"/>
      </w:tabs>
    </w:pPr>
  </w:style>
  <w:style w:type="character" w:styleId="PiedepginaCar" w:customStyle="1">
    <w:name w:val="Pie de página Car"/>
    <w:basedOn w:val="Fuentedeprrafopredeter"/>
    <w:link w:val="Piedepgina"/>
    <w:uiPriority w:val="99"/>
    <w:rsid w:val="00D12EC2"/>
  </w:style>
  <w:style w:type="character" w:styleId="Refdecomentario">
    <w:name w:val="annotation reference"/>
    <w:basedOn w:val="Fuentedeprrafopredeter"/>
    <w:uiPriority w:val="99"/>
    <w:semiHidden w:val="1"/>
    <w:unhideWhenUsed w:val="1"/>
    <w:rsid w:val="007C35DF"/>
    <w:rPr>
      <w:sz w:val="16"/>
      <w:szCs w:val="16"/>
    </w:rPr>
  </w:style>
  <w:style w:type="paragraph" w:styleId="Textocomentario">
    <w:name w:val="annotation text"/>
    <w:basedOn w:val="Normal"/>
    <w:link w:val="TextocomentarioCar"/>
    <w:uiPriority w:val="99"/>
    <w:semiHidden w:val="1"/>
    <w:unhideWhenUsed w:val="1"/>
    <w:rsid w:val="007C35DF"/>
    <w:rPr>
      <w:sz w:val="20"/>
      <w:szCs w:val="20"/>
    </w:rPr>
  </w:style>
  <w:style w:type="character" w:styleId="TextocomentarioCar" w:customStyle="1">
    <w:name w:val="Texto comentario Car"/>
    <w:basedOn w:val="Fuentedeprrafopredeter"/>
    <w:link w:val="Textocomentario"/>
    <w:uiPriority w:val="99"/>
    <w:semiHidden w:val="1"/>
    <w:rsid w:val="007C35D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7C35DF"/>
    <w:rPr>
      <w:b w:val="1"/>
      <w:bCs w:val="1"/>
    </w:rPr>
  </w:style>
  <w:style w:type="character" w:styleId="AsuntodelcomentarioCar" w:customStyle="1">
    <w:name w:val="Asunto del comentario Car"/>
    <w:basedOn w:val="TextocomentarioCar"/>
    <w:link w:val="Asuntodelcomentario"/>
    <w:uiPriority w:val="99"/>
    <w:semiHidden w:val="1"/>
    <w:rsid w:val="007C35DF"/>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WH7GNroHvH9Ne6HiDjAe7BgZbQ==">CgMxLjA4AHIhMUtUVTlrdjJzYVNreXhWQ2d2VmRGc283RHpIU2JNM1Ex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2025-08-13T03:25:00Z</dcterms:created>
  <dc:creator>Fernando Montero Polo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c338da8fb830b9e9b4abe0ac43b356b4cfd5d46565cdc7bf664500d807bd1fd7</vt:lpwstr>
  </property>
  <property fmtid="{D5CDD505-2E9C-101B-9397-08002B2CF9AE}" pid="3" name="ClassificationContentMarkingFooterShapeIds">
    <vt:lpwstr>7b5f9b18,78e57890,675cdb7e</vt:lpwstr>
  </property>
  <property fmtid="{D5CDD505-2E9C-101B-9397-08002B2CF9AE}" pid="4" name="ClassificationContentMarkingFooterFontProps">
    <vt:lpwstr>#000000,10,Calibri</vt:lpwstr>
  </property>
  <property fmtid="{D5CDD505-2E9C-101B-9397-08002B2CF9AE}" pid="5" name="ClassificationContentMarkingFooterText">
    <vt:lpwstr>Información Pública</vt:lpwstr>
  </property>
  <property fmtid="{D5CDD505-2E9C-101B-9397-08002B2CF9AE}" pid="6" name="MSIP_Label_9238af61-cfb1-43e3-a724-fe68a71eee05_Enabled">
    <vt:lpwstr>true</vt:lpwstr>
  </property>
  <property fmtid="{D5CDD505-2E9C-101B-9397-08002B2CF9AE}" pid="7" name="MSIP_Label_9238af61-cfb1-43e3-a724-fe68a71eee05_SetDate">
    <vt:lpwstr>2025-08-14T15:08:08Z</vt:lpwstr>
  </property>
  <property fmtid="{D5CDD505-2E9C-101B-9397-08002B2CF9AE}" pid="8" name="MSIP_Label_9238af61-cfb1-43e3-a724-fe68a71eee05_Method">
    <vt:lpwstr>Privileged</vt:lpwstr>
  </property>
  <property fmtid="{D5CDD505-2E9C-101B-9397-08002B2CF9AE}" pid="9" name="MSIP_Label_9238af61-cfb1-43e3-a724-fe68a71eee05_Name">
    <vt:lpwstr>Pública</vt:lpwstr>
  </property>
  <property fmtid="{D5CDD505-2E9C-101B-9397-08002B2CF9AE}" pid="10" name="MSIP_Label_9238af61-cfb1-43e3-a724-fe68a71eee05_SiteId">
    <vt:lpwstr>fab26e5a-737a-4438-8ccd-8e465ecf21d8</vt:lpwstr>
  </property>
  <property fmtid="{D5CDD505-2E9C-101B-9397-08002B2CF9AE}" pid="11" name="MSIP_Label_9238af61-cfb1-43e3-a724-fe68a71eee05_ActionId">
    <vt:lpwstr>71596d73-7c64-4fe6-af59-6662d076e1d8</vt:lpwstr>
  </property>
  <property fmtid="{D5CDD505-2E9C-101B-9397-08002B2CF9AE}" pid="12" name="MSIP_Label_9238af61-cfb1-43e3-a724-fe68a71eee05_ContentBits">
    <vt:lpwstr>2</vt:lpwstr>
  </property>
</Properties>
</file>