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0"/>
          <w:szCs w:val="20"/>
        </w:rPr>
      </w:pPr>
      <w:r w:rsidDel="00000000" w:rsidR="00000000" w:rsidRPr="00000000">
        <w:rPr>
          <w:rtl w:val="0"/>
        </w:rPr>
      </w:r>
    </w:p>
    <w:tbl>
      <w:tblPr>
        <w:tblStyle w:val="Table1"/>
        <w:tblW w:w="109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7"/>
        <w:gridCol w:w="220"/>
        <w:gridCol w:w="74"/>
        <w:gridCol w:w="74"/>
        <w:gridCol w:w="273"/>
        <w:gridCol w:w="325"/>
        <w:gridCol w:w="553"/>
        <w:gridCol w:w="452"/>
        <w:gridCol w:w="650"/>
        <w:gridCol w:w="596"/>
        <w:gridCol w:w="349"/>
        <w:gridCol w:w="1218"/>
        <w:gridCol w:w="205"/>
        <w:gridCol w:w="15"/>
        <w:gridCol w:w="318"/>
        <w:gridCol w:w="412"/>
        <w:gridCol w:w="139"/>
        <w:gridCol w:w="238"/>
        <w:gridCol w:w="691"/>
        <w:gridCol w:w="236"/>
        <w:gridCol w:w="1009"/>
        <w:gridCol w:w="324"/>
        <w:gridCol w:w="1105"/>
        <w:tblGridChange w:id="0">
          <w:tblGrid>
            <w:gridCol w:w="1477"/>
            <w:gridCol w:w="220"/>
            <w:gridCol w:w="74"/>
            <w:gridCol w:w="74"/>
            <w:gridCol w:w="273"/>
            <w:gridCol w:w="325"/>
            <w:gridCol w:w="553"/>
            <w:gridCol w:w="452"/>
            <w:gridCol w:w="650"/>
            <w:gridCol w:w="596"/>
            <w:gridCol w:w="349"/>
            <w:gridCol w:w="1218"/>
            <w:gridCol w:w="205"/>
            <w:gridCol w:w="15"/>
            <w:gridCol w:w="318"/>
            <w:gridCol w:w="412"/>
            <w:gridCol w:w="139"/>
            <w:gridCol w:w="238"/>
            <w:gridCol w:w="691"/>
            <w:gridCol w:w="236"/>
            <w:gridCol w:w="1009"/>
            <w:gridCol w:w="324"/>
            <w:gridCol w:w="1105"/>
          </w:tblGrid>
        </w:tblGridChange>
      </w:tblGrid>
      <w:tr>
        <w:trPr>
          <w:cantSplit w:val="0"/>
          <w:trHeight w:val="133" w:hRule="atLeast"/>
          <w:tblHeader w:val="1"/>
        </w:trPr>
        <w:tc>
          <w:tcPr>
            <w:gridSpan w:val="2"/>
            <w:vAlign w:val="center"/>
          </w:tcPr>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before="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Versión 2</w:t>
            </w:r>
          </w:p>
        </w:tc>
        <w:tc>
          <w:tcPr>
            <w:gridSpan w:val="4"/>
            <w:vAlign w:val="center"/>
          </w:tcPr>
          <w:p w:rsidR="00000000" w:rsidDel="00000000" w:rsidP="00000000" w:rsidRDefault="00000000" w:rsidRPr="00000000" w14:paraId="0000000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 1.1.3</w:t>
            </w:r>
          </w:p>
        </w:tc>
      </w:tr>
      <w:tr>
        <w:trPr>
          <w:cantSplit w:val="0"/>
          <w:trHeight w:val="562" w:hRule="atLeast"/>
          <w:tblHeader w:val="0"/>
        </w:trPr>
        <w:tc>
          <w:tcPr>
            <w:gridSpan w:val="16"/>
            <w:vAlign w:val="center"/>
          </w:tcPr>
          <w:p w:rsidR="00000000" w:rsidDel="00000000" w:rsidP="00000000" w:rsidRDefault="00000000" w:rsidRPr="00000000" w14:paraId="00000008">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ALCALDÍA MAYOR DE CARTAGENA DE INDIAS</w:t>
            </w:r>
          </w:p>
          <w:p w:rsidR="00000000" w:rsidDel="00000000" w:rsidP="00000000" w:rsidRDefault="00000000" w:rsidRPr="00000000" w14:paraId="00000009">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CONSEJO DE POLÍTICA ECONÓMICA Y SOCIAL DEL DISTRITO DE CARTAGENA DE INDIAS. CONPES D. T. y C.</w:t>
            </w:r>
          </w:p>
          <w:p w:rsidR="00000000" w:rsidDel="00000000" w:rsidP="00000000" w:rsidRDefault="00000000" w:rsidRPr="00000000" w14:paraId="0000000A">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Secretaría Distrital de Planeación </w:t>
            </w:r>
          </w:p>
        </w:tc>
        <w:tc>
          <w:tcPr>
            <w:gridSpan w:val="7"/>
            <w:vAlign w:val="center"/>
          </w:tcPr>
          <w:p w:rsidR="00000000" w:rsidDel="00000000" w:rsidP="00000000" w:rsidRDefault="00000000" w:rsidRPr="00000000" w14:paraId="0000001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1298187" cy="368734"/>
                  <wp:effectExtent b="0" l="0" r="0" t="0"/>
                  <wp:docPr id="2" name="image1.png"/>
                  <a:graphic>
                    <a:graphicData uri="http://schemas.openxmlformats.org/drawingml/2006/picture">
                      <pic:pic>
                        <pic:nvPicPr>
                          <pic:cNvPr id="0" name="image1.png"/>
                          <pic:cNvPicPr preferRelativeResize="0"/>
                        </pic:nvPicPr>
                        <pic:blipFill>
                          <a:blip r:embed="rId7"/>
                          <a:srcRect b="34287" l="15642" r="14937" t="33518"/>
                          <a:stretch>
                            <a:fillRect/>
                          </a:stretch>
                        </pic:blipFill>
                        <pic:spPr>
                          <a:xfrm>
                            <a:off x="0" y="0"/>
                            <a:ext cx="1298187" cy="368734"/>
                          </a:xfrm>
                          <a:prstGeom prst="rect"/>
                          <a:ln/>
                        </pic:spPr>
                      </pic:pic>
                    </a:graphicData>
                  </a:graphic>
                </wp:inline>
              </w:drawing>
            </w:r>
            <w:r w:rsidDel="00000000" w:rsidR="00000000" w:rsidRPr="00000000">
              <w:rPr>
                <w:rtl w:val="0"/>
              </w:rPr>
            </w:r>
          </w:p>
        </w:tc>
      </w:tr>
      <w:tr>
        <w:trPr>
          <w:cantSplit w:val="0"/>
          <w:trHeight w:val="201" w:hRule="atLeast"/>
          <w:tblHeader w:val="0"/>
        </w:trPr>
        <w:tc>
          <w:tcPr>
            <w:gridSpan w:val="8"/>
            <w:vAlign w:val="center"/>
          </w:tcPr>
          <w:p w:rsidR="00000000" w:rsidDel="00000000" w:rsidP="00000000" w:rsidRDefault="00000000" w:rsidRPr="00000000" w14:paraId="0000002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Entidad coordinadora de Política Pública </w:t>
            </w:r>
          </w:p>
        </w:tc>
        <w:tc>
          <w:tcPr>
            <w:gridSpan w:val="15"/>
            <w:vAlign w:val="center"/>
          </w:tcPr>
          <w:p w:rsidR="00000000" w:rsidDel="00000000" w:rsidP="00000000" w:rsidRDefault="00000000" w:rsidRPr="00000000" w14:paraId="0000002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Instituto de Patrimonio y Cultura de Cartagena - IPCC</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Política Pública</w:t>
            </w:r>
          </w:p>
        </w:tc>
        <w:tc>
          <w:tcPr>
            <w:gridSpan w:val="10"/>
            <w:vAlign w:val="center"/>
          </w:tcPr>
          <w:p w:rsidR="00000000" w:rsidDel="00000000" w:rsidP="00000000" w:rsidRDefault="00000000" w:rsidRPr="00000000" w14:paraId="0000003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Plan Distrital de Bibliotecas, Lectura, Escritura y Oralidad</w:t>
            </w:r>
          </w:p>
        </w:tc>
        <w:tc>
          <w:tcPr>
            <w:gridSpan w:val="4"/>
            <w:vAlign w:val="center"/>
          </w:tcPr>
          <w:p w:rsidR="00000000" w:rsidDel="00000000" w:rsidP="00000000" w:rsidRDefault="00000000" w:rsidRPr="00000000" w14:paraId="0000004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Número de Documento CONPES</w:t>
            </w:r>
          </w:p>
        </w:tc>
        <w:tc>
          <w:tcPr>
            <w:gridSpan w:val="8"/>
            <w:vAlign w:val="center"/>
          </w:tcPr>
          <w:p w:rsidR="00000000" w:rsidDel="00000000" w:rsidP="00000000" w:rsidRDefault="00000000" w:rsidRPr="00000000" w14:paraId="00000047">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23"/>
            <w:vAlign w:val="center"/>
          </w:tcPr>
          <w:p w:rsidR="00000000" w:rsidDel="00000000" w:rsidP="00000000" w:rsidRDefault="00000000" w:rsidRPr="00000000" w14:paraId="0000004F">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HOJA DE VIDA: PRODUCTO DE POLÍTICA PÚBLICA</w:t>
            </w:r>
          </w:p>
        </w:tc>
      </w:tr>
      <w:tr>
        <w:trPr>
          <w:cantSplit w:val="0"/>
          <w:tblHeader w:val="0"/>
        </w:trPr>
        <w:tc>
          <w:tcPr>
            <w:gridSpan w:val="23"/>
            <w:vAlign w:val="center"/>
          </w:tcPr>
          <w:p w:rsidR="00000000" w:rsidDel="00000000" w:rsidP="00000000" w:rsidRDefault="00000000" w:rsidRPr="00000000" w14:paraId="00000066">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DATOS GENERALES </w:t>
            </w:r>
          </w:p>
        </w:tc>
      </w:tr>
      <w:tr>
        <w:trPr>
          <w:cantSplit w:val="0"/>
          <w:trHeight w:val="182" w:hRule="atLeast"/>
          <w:tblHeader w:val="0"/>
        </w:trPr>
        <w:tc>
          <w:tcPr>
            <w:gridSpan w:val="3"/>
            <w:vAlign w:val="center"/>
          </w:tcPr>
          <w:p w:rsidR="00000000" w:rsidDel="00000000" w:rsidP="00000000" w:rsidRDefault="00000000" w:rsidRPr="00000000" w14:paraId="0000007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Entidad encargada de implementación</w:t>
            </w:r>
          </w:p>
        </w:tc>
        <w:tc>
          <w:tcPr>
            <w:gridSpan w:val="16"/>
            <w:vAlign w:val="center"/>
          </w:tcPr>
          <w:p w:rsidR="00000000" w:rsidDel="00000000" w:rsidP="00000000" w:rsidRDefault="00000000" w:rsidRPr="00000000" w14:paraId="0000008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Entidad responsable: IPCC</w:t>
            </w:r>
          </w:p>
        </w:tc>
        <w:tc>
          <w:tcPr>
            <w:gridSpan w:val="3"/>
            <w:vAlign w:val="center"/>
          </w:tcPr>
          <w:p w:rsidR="00000000" w:rsidDel="00000000" w:rsidP="00000000" w:rsidRDefault="00000000" w:rsidRPr="00000000" w14:paraId="0000009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Código de entidad</w:t>
            </w:r>
          </w:p>
        </w:tc>
        <w:tc>
          <w:tcPr>
            <w:vAlign w:val="center"/>
          </w:tcPr>
          <w:p w:rsidR="00000000" w:rsidDel="00000000" w:rsidP="00000000" w:rsidRDefault="00000000" w:rsidRPr="00000000" w14:paraId="0000009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w:t>
            </w:r>
          </w:p>
        </w:tc>
      </w:tr>
      <w:tr>
        <w:trPr>
          <w:cantSplit w:val="0"/>
          <w:trHeight w:val="182" w:hRule="atLeast"/>
          <w:tblHeader w:val="0"/>
        </w:trPr>
        <w:tc>
          <w:tcPr>
            <w:gridSpan w:val="3"/>
            <w:vAlign w:val="center"/>
          </w:tcPr>
          <w:p w:rsidR="00000000" w:rsidDel="00000000" w:rsidP="00000000" w:rsidRDefault="00000000" w:rsidRPr="00000000" w14:paraId="0000009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Objetivo específico asociado</w:t>
            </w:r>
          </w:p>
        </w:tc>
        <w:tc>
          <w:tcPr>
            <w:gridSpan w:val="16"/>
            <w:vAlign w:val="center"/>
          </w:tcPr>
          <w:p w:rsidR="00000000" w:rsidDel="00000000" w:rsidP="00000000" w:rsidRDefault="00000000" w:rsidRPr="00000000" w14:paraId="0000009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Ampliar la oferta de servicios de las bibliotecas distritales con capital humano idóneo, en espacios inclusivos, descentralizados y participativos. </w:t>
            </w:r>
            <w:r w:rsidDel="00000000" w:rsidR="00000000" w:rsidRPr="00000000">
              <w:rPr>
                <w:rtl w:val="0"/>
              </w:rPr>
            </w:r>
          </w:p>
        </w:tc>
        <w:tc>
          <w:tcPr>
            <w:gridSpan w:val="3"/>
            <w:vAlign w:val="center"/>
          </w:tcPr>
          <w:p w:rsidR="00000000" w:rsidDel="00000000" w:rsidP="00000000" w:rsidRDefault="00000000" w:rsidRPr="00000000" w14:paraId="000000A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Número de objetivo</w:t>
            </w:r>
          </w:p>
        </w:tc>
        <w:tc>
          <w:tcPr>
            <w:vAlign w:val="center"/>
          </w:tcPr>
          <w:p w:rsidR="00000000" w:rsidDel="00000000" w:rsidP="00000000" w:rsidRDefault="00000000" w:rsidRPr="00000000" w14:paraId="000000A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OE.1</w:t>
            </w:r>
          </w:p>
        </w:tc>
      </w:tr>
      <w:tr>
        <w:trPr>
          <w:cantSplit w:val="0"/>
          <w:trHeight w:val="182" w:hRule="atLeast"/>
          <w:tblHeader w:val="0"/>
        </w:trPr>
        <w:tc>
          <w:tcPr>
            <w:gridSpan w:val="3"/>
            <w:vAlign w:val="center"/>
          </w:tcPr>
          <w:p w:rsidR="00000000" w:rsidDel="00000000" w:rsidP="00000000" w:rsidRDefault="00000000" w:rsidRPr="00000000" w14:paraId="000000A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Meta(s) de resultado a la (s) que el producto aporta mediante su implementación.</w:t>
            </w:r>
          </w:p>
        </w:tc>
        <w:tc>
          <w:tcPr>
            <w:gridSpan w:val="20"/>
            <w:vAlign w:val="center"/>
          </w:tcPr>
          <w:p w:rsidR="00000000" w:rsidDel="00000000" w:rsidP="00000000" w:rsidRDefault="00000000" w:rsidRPr="00000000" w14:paraId="000000A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1.1. Mejora en la generación de información para la transparencia institucional.</w:t>
            </w: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C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Componente - Eje</w:t>
            </w:r>
          </w:p>
        </w:tc>
        <w:tc>
          <w:tcPr>
            <w:gridSpan w:val="6"/>
            <w:vAlign w:val="center"/>
          </w:tcPr>
          <w:p w:rsidR="00000000" w:rsidDel="00000000" w:rsidP="00000000" w:rsidRDefault="00000000" w:rsidRPr="00000000" w14:paraId="000000C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Organizacional e Infraestructura</w:t>
            </w:r>
          </w:p>
        </w:tc>
        <w:tc>
          <w:tcPr>
            <w:gridSpan w:val="3"/>
            <w:vAlign w:val="center"/>
          </w:tcPr>
          <w:p w:rsidR="00000000" w:rsidDel="00000000" w:rsidP="00000000" w:rsidRDefault="00000000" w:rsidRPr="00000000" w14:paraId="000000C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Línea de acción</w:t>
            </w:r>
          </w:p>
        </w:tc>
        <w:tc>
          <w:tcPr>
            <w:gridSpan w:val="11"/>
            <w:vAlign w:val="center"/>
          </w:tcPr>
          <w:p w:rsidR="00000000" w:rsidDel="00000000" w:rsidP="00000000" w:rsidRDefault="00000000" w:rsidRPr="00000000" w14:paraId="000000C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Gestión</w:t>
            </w:r>
          </w:p>
        </w:tc>
      </w:tr>
      <w:tr>
        <w:trPr>
          <w:cantSplit w:val="0"/>
          <w:trHeight w:val="628" w:hRule="atLeast"/>
          <w:tblHeader w:val="0"/>
        </w:trPr>
        <w:tc>
          <w:tcPr>
            <w:gridSpan w:val="3"/>
            <w:vAlign w:val="center"/>
          </w:tcPr>
          <w:p w:rsidR="00000000" w:rsidDel="00000000" w:rsidP="00000000" w:rsidRDefault="00000000" w:rsidRPr="00000000" w14:paraId="000000D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Código de producto</w:t>
            </w:r>
          </w:p>
        </w:tc>
        <w:tc>
          <w:tcPr>
            <w:gridSpan w:val="6"/>
            <w:vAlign w:val="center"/>
          </w:tcPr>
          <w:p w:rsidR="00000000" w:rsidDel="00000000" w:rsidP="00000000" w:rsidRDefault="00000000" w:rsidRPr="00000000" w14:paraId="000000D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w:t>
            </w:r>
          </w:p>
        </w:tc>
        <w:tc>
          <w:tcPr>
            <w:gridSpan w:val="3"/>
            <w:vAlign w:val="center"/>
          </w:tcPr>
          <w:p w:rsidR="00000000" w:rsidDel="00000000" w:rsidP="00000000" w:rsidRDefault="00000000" w:rsidRPr="00000000" w14:paraId="000000E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Nombre del producto</w:t>
            </w:r>
          </w:p>
        </w:tc>
        <w:tc>
          <w:tcPr>
            <w:gridSpan w:val="11"/>
            <w:vAlign w:val="center"/>
          </w:tcPr>
          <w:p w:rsidR="00000000" w:rsidDel="00000000" w:rsidP="00000000" w:rsidRDefault="00000000" w:rsidRPr="00000000" w14:paraId="000000E5">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Encuesta distrital de medición de niveles y tendencias de lectura, escritura y oralidad de los usuarios de la red distrital de bibliotecas.</w:t>
            </w:r>
          </w:p>
        </w:tc>
      </w:tr>
      <w:tr>
        <w:trPr>
          <w:cantSplit w:val="0"/>
          <w:tblHeader w:val="0"/>
        </w:trPr>
        <w:tc>
          <w:tcPr>
            <w:gridSpan w:val="3"/>
            <w:vAlign w:val="center"/>
          </w:tcPr>
          <w:p w:rsidR="00000000" w:rsidDel="00000000" w:rsidP="00000000" w:rsidRDefault="00000000" w:rsidRPr="00000000" w14:paraId="000000F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Población objetivo del producto</w:t>
            </w:r>
          </w:p>
        </w:tc>
        <w:tc>
          <w:tcPr>
            <w:gridSpan w:val="20"/>
            <w:vAlign w:val="center"/>
          </w:tcPr>
          <w:p w:rsidR="00000000" w:rsidDel="00000000" w:rsidP="00000000" w:rsidRDefault="00000000" w:rsidRPr="00000000" w14:paraId="000000F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Usuarios de las bibliotecas de la red distrital y bibliotecas de las Instituciones Educativas. </w:t>
            </w:r>
          </w:p>
        </w:tc>
      </w:tr>
      <w:tr>
        <w:trPr>
          <w:cantSplit w:val="0"/>
          <w:tblHeader w:val="0"/>
        </w:trPr>
        <w:tc>
          <w:tcPr>
            <w:gridSpan w:val="3"/>
            <w:vAlign w:val="center"/>
          </w:tcPr>
          <w:p w:rsidR="00000000" w:rsidDel="00000000" w:rsidP="00000000" w:rsidRDefault="00000000" w:rsidRPr="00000000" w14:paraId="0000010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Relación con el Plan de Desarrollo Distrital -PDD</w:t>
            </w:r>
          </w:p>
        </w:tc>
        <w:tc>
          <w:tcPr>
            <w:gridSpan w:val="4"/>
            <w:vAlign w:val="center"/>
          </w:tcPr>
          <w:p w:rsidR="00000000" w:rsidDel="00000000" w:rsidP="00000000" w:rsidRDefault="00000000" w:rsidRPr="00000000" w14:paraId="0000010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w:t>
            </w:r>
          </w:p>
          <w:p w:rsidR="00000000" w:rsidDel="00000000" w:rsidP="00000000" w:rsidRDefault="00000000" w:rsidRPr="00000000" w14:paraId="0000010B">
            <w:pPr>
              <w:rPr>
                <w:rFonts w:ascii="Times New Roman" w:cs="Times New Roman" w:eastAsia="Times New Roman" w:hAnsi="Times New Roman"/>
                <w:sz w:val="20"/>
                <w:szCs w:val="20"/>
              </w:rPr>
            </w:pPr>
            <w:r w:rsidDel="00000000" w:rsidR="00000000" w:rsidRPr="00000000">
              <w:rPr>
                <w:rtl w:val="0"/>
              </w:rPr>
            </w:r>
          </w:p>
        </w:tc>
        <w:tc>
          <w:tcPr>
            <w:gridSpan w:val="2"/>
            <w:vAlign w:val="center"/>
          </w:tcPr>
          <w:p w:rsidR="00000000" w:rsidDel="00000000" w:rsidP="00000000" w:rsidRDefault="00000000" w:rsidRPr="00000000" w14:paraId="0000010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Pilar, Objetivo o Eje del PDD</w:t>
            </w:r>
          </w:p>
        </w:tc>
        <w:tc>
          <w:tcPr>
            <w:gridSpan w:val="6"/>
            <w:vAlign w:val="center"/>
          </w:tcPr>
          <w:p w:rsidR="00000000" w:rsidDel="00000000" w:rsidP="00000000" w:rsidRDefault="00000000" w:rsidRPr="00000000" w14:paraId="0000011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c>
          <w:tcPr>
            <w:gridSpan w:val="5"/>
            <w:vAlign w:val="center"/>
          </w:tcPr>
          <w:p w:rsidR="00000000" w:rsidDel="00000000" w:rsidP="00000000" w:rsidRDefault="00000000" w:rsidRPr="00000000" w14:paraId="0000011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Programa del PDD</w:t>
            </w:r>
          </w:p>
        </w:tc>
        <w:tc>
          <w:tcPr>
            <w:gridSpan w:val="3"/>
            <w:vAlign w:val="center"/>
          </w:tcPr>
          <w:p w:rsidR="00000000" w:rsidDel="00000000" w:rsidP="00000000" w:rsidRDefault="00000000" w:rsidRPr="00000000" w14:paraId="0000011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w:t>
            </w:r>
          </w:p>
        </w:tc>
      </w:tr>
      <w:tr>
        <w:trPr>
          <w:cantSplit w:val="0"/>
          <w:trHeight w:val="150" w:hRule="atLeast"/>
          <w:tblHeader w:val="0"/>
        </w:trPr>
        <w:tc>
          <w:tcPr>
            <w:gridSpan w:val="23"/>
            <w:vAlign w:val="center"/>
          </w:tcPr>
          <w:p w:rsidR="00000000" w:rsidDel="00000000" w:rsidP="00000000" w:rsidRDefault="00000000" w:rsidRPr="00000000" w14:paraId="0000011F">
            <w:pPr>
              <w:rPr>
                <w:rFonts w:ascii="Times New Roman" w:cs="Times New Roman" w:eastAsia="Times New Roman" w:hAnsi="Times New Roman"/>
                <w:sz w:val="20"/>
                <w:szCs w:val="20"/>
              </w:rPr>
            </w:pPr>
            <w:r w:rsidDel="00000000" w:rsidR="00000000" w:rsidRPr="00000000">
              <w:rPr>
                <w:rtl w:val="0"/>
              </w:rPr>
            </w:r>
          </w:p>
        </w:tc>
      </w:tr>
      <w:tr>
        <w:trPr>
          <w:cantSplit w:val="0"/>
          <w:trHeight w:val="150" w:hRule="atLeast"/>
          <w:tblHeader w:val="0"/>
        </w:trPr>
        <w:tc>
          <w:tcPr>
            <w:gridSpan w:val="23"/>
            <w:vAlign w:val="center"/>
          </w:tcPr>
          <w:p w:rsidR="00000000" w:rsidDel="00000000" w:rsidP="00000000" w:rsidRDefault="00000000" w:rsidRPr="00000000" w14:paraId="0000013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INFORMACIÓN DEL PRODUCTO</w:t>
            </w:r>
          </w:p>
        </w:tc>
      </w:tr>
      <w:tr>
        <w:trPr>
          <w:cantSplit w:val="0"/>
          <w:trHeight w:val="73" w:hRule="atLeast"/>
          <w:tblHeader w:val="0"/>
        </w:trPr>
        <w:tc>
          <w:tcPr>
            <w:gridSpan w:val="4"/>
            <w:vAlign w:val="center"/>
          </w:tcPr>
          <w:p w:rsidR="00000000" w:rsidDel="00000000" w:rsidP="00000000" w:rsidRDefault="00000000" w:rsidRPr="00000000" w14:paraId="0000014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Descripción</w:t>
            </w:r>
          </w:p>
        </w:tc>
        <w:tc>
          <w:tcPr>
            <w:gridSpan w:val="19"/>
            <w:vAlign w:val="center"/>
          </w:tcPr>
          <w:p w:rsidR="00000000" w:rsidDel="00000000" w:rsidP="00000000" w:rsidRDefault="00000000" w:rsidRPr="00000000" w14:paraId="0000015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Justificación de competencias:</w:t>
            </w:r>
            <w:r w:rsidDel="00000000" w:rsidR="00000000" w:rsidRPr="00000000">
              <w:rPr>
                <w:rFonts w:ascii="Times New Roman" w:cs="Times New Roman" w:eastAsia="Times New Roman" w:hAnsi="Times New Roman"/>
                <w:sz w:val="20"/>
                <w:szCs w:val="20"/>
                <w:rtl w:val="0"/>
              </w:rPr>
              <w:t xml:space="preserve"> De conformidad con la disposición normativa, la entidad encargada de gestionar la política pública cultural de Cartagena y garantizar su eficaz cumplimiento y aplicación es el Instituto de Patrimonio y Cultura – IPCC, en virtud del Acuerdo Distrital 001 de 2003 El IPCC debe promover la participación de la ciudadanía en los escenarios culturales, garantizar -por medio de la asignación de recursos y el acompañamiento necesarios- la creación y promoción de actividades artísticas y culturales en el distrito, ejecutar planes de acción que aporten a la infraestructura cultural de la ciudad, de manera que se generen oportunidades de desarrollo tanto del sector propiamente, como de los agentes. Asimismo, debe proveer recursos o presupuesto para la realización de eventos, la creación de programas y la oferta de bienes y servicios acordes con las voluntades y necesidades del sector y sus miembros. De igual manera, debe concertar, formular y ejecutar documentos en pro del mejoramiento y fortalecimiento del sector, y promover la creación, el fomento y el fortalecimiento de las bibliotecas públicas y de los servicios complementarios que a través de ellas se prestan. En particular, el artículo 87 dice que el “Instituto de Patrimonio y Cultura de Cartagena de Indias, consolidará y desarrollará la RED DE BIBLIOTECAS PÚBLICAS DEL DISTRITO, con el fin de promover la creación, el fomento y el fortalecimiento de las bibliotecas públicas y mixtas y de los servicios complementarios que a través de ellas se prestan. Para ello deberán incluir en su presupuesto anual las partidas necesarias para crear, fortalecer y sostener el mayor número de bibliotecas tanto en las áreas urbanas como rurales del Distrito” (p. 15). </w:t>
            </w:r>
            <w:r w:rsidDel="00000000" w:rsidR="00000000" w:rsidRPr="00000000">
              <w:rPr>
                <w:rFonts w:ascii="Times New Roman" w:cs="Times New Roman" w:eastAsia="Times New Roman" w:hAnsi="Times New Roman"/>
                <w:b w:val="1"/>
                <w:bCs w:val="1"/>
                <w:sz w:val="20"/>
                <w:szCs w:val="20"/>
                <w:rtl w:val="0"/>
              </w:rPr>
              <w:t xml:space="preserve">L</w:t>
            </w:r>
            <w:r w:rsidDel="00000000" w:rsidR="00000000" w:rsidRPr="00000000">
              <w:rPr>
                <w:rFonts w:ascii="Times New Roman" w:cs="Times New Roman" w:eastAsia="Times New Roman" w:hAnsi="Times New Roman"/>
                <w:sz w:val="20"/>
                <w:szCs w:val="20"/>
                <w:rtl w:val="0"/>
              </w:rPr>
              <w:t xml:space="preserve">a Red Distrital de Bibliotecas Públicas, al ser la encargada de brindar apoyo técnico a las bibliotecas públicas de la ciudad, realiza la gestión organizacional y la coordinación de los procesos, programas y proyectos llevados a cabo en ellas. </w:t>
            </w:r>
          </w:p>
          <w:p w:rsidR="00000000" w:rsidDel="00000000" w:rsidP="00000000" w:rsidRDefault="00000000" w:rsidRPr="00000000" w14:paraId="0000015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Descripción de la relación causal del problema: </w:t>
            </w:r>
            <w:r w:rsidDel="00000000" w:rsidR="00000000" w:rsidRPr="00000000">
              <w:rPr>
                <w:rFonts w:ascii="Times New Roman" w:cs="Times New Roman" w:eastAsia="Times New Roman" w:hAnsi="Times New Roman"/>
                <w:sz w:val="20"/>
                <w:szCs w:val="20"/>
                <w:rtl w:val="0"/>
              </w:rPr>
              <w:t xml:space="preserve">Las bibliotecas se constituyen como espacios de construcción de tejido social pues en ellas se dan procesos que permiten la coexistencia de diferentes visiones de mundo, a su vez, las prácticas de la lectura, la escritura y la oralidad inciden en las formas de vida de las personas porque hacen posible el desarrollo de herramientas para pensar críticamente sus realidades, potenciar sus habilidades, reforzar sus conocimientos y expresarse. En la Red Distrital de Bibliotecas Públicas la encuesta de lectura, escritura y oralidad se requiere para la adaptación de los servicios de las bibliotecas a las necesidades de la comunidad, en la mejora de la calidad de los servicios y en el fomento de la participación y la satisfacción de los usuarios. Esto contribuye a fortalecer el papel de las bibliotecas como centros de aprendizaje y cultura en la comunidad. En las bibliotecas de la red distrital se necesita más información acerca de las necesidades e intereses específicos de los usuarios, para orientar los procesos, programas y acciones hacia la satisfacción de estos. Además, el punto crítico asociado con el producto es (PC14) “Ausencia de una base de datos y de estudios investigativos frente a situación real de la población que practica la lectura y escritura en Cartagena” las problemáticas que lo integran son “Carencia de una base de datos robusta y actualizada que permita diagnosticar la situación real de la lectura y escritura en la ciudad” y “Creación de infraestructuras y espacios bibliotecarios poco funcionales o de difícil acceso que no responden a la demanda ciudadana” con sus  respectivas causas “Poca voluntad política para desarrollar estos censos” y  “Poca planificación de la oferta y los espacios de formación por falta de información” y consecuencias “Implementación de estrategias poco pertinentes al carecer de evidencia empírica sobre los hábitos de la población” y “Desconexión de la población con los espacios culturales, lo que disuade la participación y perpetúa el desinterés hacia las actividades literarias”  </w:t>
            </w:r>
            <w:r w:rsidDel="00000000" w:rsidR="00000000" w:rsidRPr="00000000">
              <w:rPr>
                <w:rtl w:val="0"/>
              </w:rPr>
            </w:r>
          </w:p>
          <w:p w:rsidR="00000000" w:rsidDel="00000000" w:rsidP="00000000" w:rsidRDefault="00000000" w:rsidRPr="00000000" w14:paraId="00000154">
            <w:pPr>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Importancia comunitaria del punto crítico:</w:t>
            </w:r>
            <w:r w:rsidDel="00000000" w:rsidR="00000000" w:rsidRPr="00000000">
              <w:rPr>
                <w:rFonts w:ascii="Times New Roman" w:cs="Times New Roman" w:eastAsia="Times New Roman" w:hAnsi="Times New Roman"/>
                <w:sz w:val="20"/>
                <w:szCs w:val="20"/>
                <w:rtl w:val="0"/>
              </w:rPr>
              <w:t xml:space="preserve"> Para la comunidad del distrito de Cartagena resulta importante contribuir en la calidad educativa de las instituciones educativas públicas, en garantía de ese derecho fundamental que ha resultado afectado en los últimos años debido a la crisis de gobernabilidad. Las bibliotecas públicas son lugares propicios para fomentar el interés por la lectura, la escritura y la oralidad como claves en el desarrollo cognitivo de los NNAJ. Son centros de intercambio de experiencias de enseñanza - aprendizaje muy oportunas para que los niños y niñas de la ciudad exploren su creatividad e ingenio, cuenten con herramientas para expresarse y pensar libremente, adquiriendo habilidades para ejercer sus derechos en sus propios entornos sociales y culturales. En ese orden de ideas, la encuesta asegura la consecución de datos cualitativos y cuantitativos que permiten el análisis de los avances en la materia, así como la medición, el seguimiento y la evaluación de los procesos de promoción de lectura, escritura y oralidad desarrollados por la Red Distrital de Bibliotecas Públicas de Cartagena, así conocer su impacto en la población y reorientar sus procesos a partir del análisis de los desafíos y oportunidades. </w:t>
            </w:r>
            <w:r w:rsidDel="00000000" w:rsidR="00000000" w:rsidRPr="00000000">
              <w:rPr>
                <w:rFonts w:ascii="Times New Roman" w:cs="Times New Roman" w:eastAsia="Times New Roman" w:hAnsi="Times New Roman"/>
                <w:sz w:val="20"/>
                <w:szCs w:val="20"/>
                <w:rtl w:val="0"/>
              </w:rPr>
              <w:t xml:space="preserve">Situación que fue manifestada de manera recurrente por parte los asistentes a las Mesas de Concertación y Validación, donde, al priorizar factores estratégicos, se le valoró el (PC14) con una puntuación de 4 en la escala de Likert (1 es “nada relevante” y 5 “muy relevante”).</w:t>
            </w:r>
          </w:p>
          <w:p w:rsidR="00000000" w:rsidDel="00000000" w:rsidP="00000000" w:rsidRDefault="00000000" w:rsidRPr="00000000" w14:paraId="00000156">
            <w:pPr>
              <w:ind w:left="72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Elección del número de vigencias proyectadas para la implementación de producto:</w:t>
            </w:r>
            <w:r w:rsidDel="00000000" w:rsidR="00000000" w:rsidRPr="00000000">
              <w:rPr>
                <w:rFonts w:ascii="Times New Roman" w:cs="Times New Roman" w:eastAsia="Times New Roman" w:hAnsi="Times New Roman"/>
                <w:sz w:val="20"/>
                <w:szCs w:val="20"/>
                <w:rtl w:val="0"/>
              </w:rPr>
              <w:t xml:space="preserve"> se implementa durante los 12 años de vigencia de esta política pública debido al carácter relevante y urgente de la medición, análisis y seguimiento de los niveles de lectura y escritura en la población para incidir en el aumento de la calidad educativa en la ciudad. </w:t>
            </w:r>
          </w:p>
          <w:p w:rsidR="00000000" w:rsidDel="00000000" w:rsidP="00000000" w:rsidRDefault="00000000" w:rsidRPr="00000000" w14:paraId="00000158">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16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Indicador del producto</w:t>
            </w:r>
          </w:p>
        </w:tc>
        <w:tc>
          <w:tcPr>
            <w:gridSpan w:val="17"/>
            <w:vAlign w:val="center"/>
          </w:tcPr>
          <w:p w:rsidR="00000000" w:rsidDel="00000000" w:rsidP="00000000" w:rsidRDefault="00000000" w:rsidRPr="00000000" w14:paraId="0000017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Número de Encuestas Distritales de medición de niveles y tendencias de lectura, escritura y oralidad de los usuarios de la Red Distrital de Bibliotecas realizadas</w:t>
            </w:r>
          </w:p>
        </w:tc>
      </w:tr>
      <w:tr>
        <w:trPr>
          <w:cantSplit w:val="0"/>
          <w:trHeight w:val="73" w:hRule="atLeast"/>
          <w:tblHeader w:val="0"/>
        </w:trPr>
        <w:tc>
          <w:tcPr>
            <w:gridSpan w:val="6"/>
            <w:vAlign w:val="center"/>
          </w:tcPr>
          <w:p w:rsidR="00000000" w:rsidDel="00000000" w:rsidP="00000000" w:rsidRDefault="00000000" w:rsidRPr="00000000" w14:paraId="0000018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Fórmula de cálculo de los indicadores del producto</w:t>
            </w:r>
          </w:p>
        </w:tc>
        <w:tc>
          <w:tcPr>
            <w:gridSpan w:val="17"/>
            <w:vAlign w:val="center"/>
          </w:tcPr>
          <w:p w:rsidR="00000000" w:rsidDel="00000000" w:rsidP="00000000" w:rsidRDefault="00000000" w:rsidRPr="00000000" w14:paraId="0000018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Sumatoria de Encuestas Distritales de medición de niveles y tendencias de lectura, escritura y oralidad de los usuarios de la Red Distrital de Bibliotecas realizadas</w:t>
            </w:r>
          </w:p>
        </w:tc>
      </w:tr>
      <w:tr>
        <w:trPr>
          <w:cantSplit w:val="0"/>
          <w:trHeight w:val="73" w:hRule="atLeast"/>
          <w:tblHeader w:val="0"/>
        </w:trPr>
        <w:tc>
          <w:tcPr>
            <w:gridSpan w:val="6"/>
            <w:vAlign w:val="center"/>
          </w:tcPr>
          <w:p w:rsidR="00000000" w:rsidDel="00000000" w:rsidP="00000000" w:rsidRDefault="00000000" w:rsidRPr="00000000" w14:paraId="0000019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Línea base del producto</w:t>
            </w:r>
          </w:p>
        </w:tc>
        <w:tc>
          <w:tcPr>
            <w:gridSpan w:val="7"/>
            <w:vAlign w:val="center"/>
          </w:tcPr>
          <w:p w:rsidR="00000000" w:rsidDel="00000000" w:rsidP="00000000" w:rsidRDefault="00000000" w:rsidRPr="00000000" w14:paraId="0000019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0</w:t>
            </w:r>
            <w:r w:rsidDel="00000000" w:rsidR="00000000" w:rsidRPr="00000000">
              <w:rPr>
                <w:rtl w:val="0"/>
              </w:rPr>
            </w:r>
          </w:p>
        </w:tc>
        <w:tc>
          <w:tcPr>
            <w:gridSpan w:val="4"/>
            <w:vAlign w:val="center"/>
          </w:tcPr>
          <w:p w:rsidR="00000000" w:rsidDel="00000000" w:rsidP="00000000" w:rsidRDefault="00000000" w:rsidRPr="00000000" w14:paraId="000001A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Fecha de la LB</w:t>
            </w:r>
          </w:p>
        </w:tc>
        <w:tc>
          <w:tcPr>
            <w:gridSpan w:val="3"/>
            <w:vAlign w:val="center"/>
          </w:tcPr>
          <w:p w:rsidR="00000000" w:rsidDel="00000000" w:rsidP="00000000" w:rsidRDefault="00000000" w:rsidRPr="00000000" w14:paraId="000001A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2023</w:t>
            </w:r>
          </w:p>
        </w:tc>
        <w:tc>
          <w:tcPr>
            <w:vAlign w:val="center"/>
          </w:tcPr>
          <w:p w:rsidR="00000000" w:rsidDel="00000000" w:rsidP="00000000" w:rsidRDefault="00000000" w:rsidRPr="00000000" w14:paraId="000001A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Fuente de la LB </w:t>
            </w:r>
          </w:p>
        </w:tc>
        <w:tc>
          <w:tcPr>
            <w:gridSpan w:val="2"/>
            <w:vAlign w:val="center"/>
          </w:tcPr>
          <w:p w:rsidR="00000000" w:rsidDel="00000000" w:rsidP="00000000" w:rsidRDefault="00000000" w:rsidRPr="00000000" w14:paraId="000001A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IPCC</w:t>
            </w:r>
          </w:p>
        </w:tc>
      </w:tr>
      <w:tr>
        <w:trPr>
          <w:cantSplit w:val="0"/>
          <w:trHeight w:val="73" w:hRule="atLeast"/>
          <w:tblHeader w:val="0"/>
        </w:trPr>
        <w:tc>
          <w:tcPr>
            <w:gridSpan w:val="6"/>
            <w:vAlign w:val="center"/>
          </w:tcPr>
          <w:p w:rsidR="00000000" w:rsidDel="00000000" w:rsidP="00000000" w:rsidRDefault="00000000" w:rsidRPr="00000000" w14:paraId="000001B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Producto esperado (meta total)</w:t>
            </w:r>
          </w:p>
        </w:tc>
        <w:tc>
          <w:tcPr>
            <w:gridSpan w:val="17"/>
            <w:vAlign w:val="center"/>
          </w:tcPr>
          <w:p w:rsidR="00000000" w:rsidDel="00000000" w:rsidP="00000000" w:rsidRDefault="00000000" w:rsidRPr="00000000" w14:paraId="000001B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Meta total: 12 Encuestas Distritales de medición de niveles y tendencias de lectura, escritura y oralidad de los usuarios de la Red Distrital de Bibliotecas realizadas</w:t>
            </w:r>
          </w:p>
        </w:tc>
      </w:tr>
      <w:tr>
        <w:trPr>
          <w:cantSplit w:val="0"/>
          <w:trHeight w:val="73" w:hRule="atLeast"/>
          <w:tblHeader w:val="0"/>
        </w:trPr>
        <w:tc>
          <w:tcPr>
            <w:gridSpan w:val="6"/>
            <w:vAlign w:val="center"/>
          </w:tcPr>
          <w:p w:rsidR="00000000" w:rsidDel="00000000" w:rsidP="00000000" w:rsidRDefault="00000000" w:rsidRPr="00000000" w14:paraId="000001C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Vigencias de implementación proyectadas</w:t>
            </w:r>
          </w:p>
        </w:tc>
        <w:tc>
          <w:tcPr>
            <w:gridSpan w:val="5"/>
            <w:vAlign w:val="center"/>
          </w:tcPr>
          <w:p w:rsidR="00000000" w:rsidDel="00000000" w:rsidP="00000000" w:rsidRDefault="00000000" w:rsidRPr="00000000" w14:paraId="000001C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2026, 2027, 2028, 2029, 2030, 2031, 2031, 2033, 2034, 2035, 2036, 2037</w:t>
            </w:r>
          </w:p>
        </w:tc>
        <w:tc>
          <w:tcPr>
            <w:vAlign w:val="center"/>
          </w:tcPr>
          <w:p w:rsidR="00000000" w:rsidDel="00000000" w:rsidP="00000000" w:rsidRDefault="00000000" w:rsidRPr="00000000" w14:paraId="000001D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Códigos de vigencias</w:t>
            </w:r>
          </w:p>
        </w:tc>
        <w:tc>
          <w:tcPr>
            <w:gridSpan w:val="11"/>
            <w:vAlign w:val="center"/>
          </w:tcPr>
          <w:p w:rsidR="00000000" w:rsidDel="00000000" w:rsidP="00000000" w:rsidRDefault="00000000" w:rsidRPr="00000000" w14:paraId="000001D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1, 2, 3, 4, 5, 6, 7, 8, 9, 10, 11, 12</w:t>
            </w:r>
          </w:p>
        </w:tc>
      </w:tr>
      <w:tr>
        <w:trPr>
          <w:cantSplit w:val="0"/>
          <w:trHeight w:val="73" w:hRule="atLeast"/>
          <w:tblHeader w:val="0"/>
        </w:trPr>
        <w:tc>
          <w:tcPr>
            <w:gridSpan w:val="6"/>
            <w:vAlign w:val="center"/>
          </w:tcPr>
          <w:p w:rsidR="00000000" w:rsidDel="00000000" w:rsidP="00000000" w:rsidRDefault="00000000" w:rsidRPr="00000000" w14:paraId="000001D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Metas por vigencia </w:t>
            </w:r>
          </w:p>
        </w:tc>
        <w:tc>
          <w:tcPr>
            <w:gridSpan w:val="17"/>
            <w:vAlign w:val="cente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0"/>
                <w:szCs w:val="20"/>
              </w:rPr>
            </w:pPr>
            <w:r w:rsidDel="00000000" w:rsidR="00000000" w:rsidRPr="00000000">
              <w:rPr>
                <w:rtl w:val="0"/>
              </w:rPr>
            </w:r>
          </w:p>
          <w:tbl>
            <w:tblPr>
              <w:tblStyle w:val="Table2"/>
              <w:tblW w:w="8233.999999999998" w:type="dxa"/>
              <w:jc w:val="left"/>
              <w:tblLayout w:type="fixed"/>
              <w:tblLook w:val="0400"/>
            </w:tblPr>
            <w:tblGrid>
              <w:gridCol w:w="749"/>
              <w:gridCol w:w="750"/>
              <w:gridCol w:w="750"/>
              <w:gridCol w:w="750"/>
              <w:gridCol w:w="749"/>
              <w:gridCol w:w="749"/>
              <w:gridCol w:w="749"/>
              <w:gridCol w:w="749"/>
              <w:gridCol w:w="749"/>
              <w:gridCol w:w="749"/>
              <w:gridCol w:w="741"/>
              <w:tblGridChange w:id="0">
                <w:tblGrid>
                  <w:gridCol w:w="749"/>
                  <w:gridCol w:w="750"/>
                  <w:gridCol w:w="750"/>
                  <w:gridCol w:w="750"/>
                  <w:gridCol w:w="749"/>
                  <w:gridCol w:w="749"/>
                  <w:gridCol w:w="749"/>
                  <w:gridCol w:w="749"/>
                  <w:gridCol w:w="749"/>
                  <w:gridCol w:w="749"/>
                  <w:gridCol w:w="741"/>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E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1E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0">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4</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5</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1F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B">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1F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1F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F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03">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0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0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6">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7</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9</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0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10</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21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1">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1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19">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1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1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C">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11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1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Año 12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1">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3">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5">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22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27">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2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2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2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4"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3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32">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3">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3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3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3D">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23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3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w:t>
                  </w:r>
                </w:p>
              </w:tc>
              <w:tc>
                <w:tcPr>
                  <w:gridSpan w:val="2"/>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4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4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24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248">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3" w:hRule="atLeast"/>
          <w:tblHeader w:val="0"/>
        </w:trPr>
        <w:tc>
          <w:tcPr>
            <w:gridSpan w:val="6"/>
            <w:vAlign w:val="center"/>
          </w:tcPr>
          <w:p w:rsidR="00000000" w:rsidDel="00000000" w:rsidP="00000000" w:rsidRDefault="00000000" w:rsidRPr="00000000" w14:paraId="0000025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Periodicidad de medición del indicador</w:t>
            </w:r>
          </w:p>
        </w:tc>
        <w:tc>
          <w:tcPr>
            <w:gridSpan w:val="17"/>
            <w:vAlign w:val="center"/>
          </w:tcPr>
          <w:p w:rsidR="00000000" w:rsidDel="00000000" w:rsidP="00000000" w:rsidRDefault="00000000" w:rsidRPr="00000000" w14:paraId="0000025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Semestral</w:t>
            </w:r>
          </w:p>
        </w:tc>
      </w:tr>
      <w:tr>
        <w:trPr>
          <w:cantSplit w:val="0"/>
          <w:trHeight w:val="73" w:hRule="atLeast"/>
          <w:tblHeader w:val="0"/>
        </w:trPr>
        <w:tc>
          <w:tcPr>
            <w:gridSpan w:val="7"/>
            <w:vAlign w:val="center"/>
          </w:tcPr>
          <w:p w:rsidR="00000000" w:rsidDel="00000000" w:rsidP="00000000" w:rsidRDefault="00000000" w:rsidRPr="00000000" w14:paraId="0000027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Enfoque del producto</w:t>
            </w:r>
          </w:p>
        </w:tc>
        <w:tc>
          <w:tcPr>
            <w:gridSpan w:val="16"/>
            <w:vAlign w:val="center"/>
          </w:tcPr>
          <w:p w:rsidR="00000000" w:rsidDel="00000000" w:rsidP="00000000" w:rsidRDefault="00000000" w:rsidRPr="00000000" w14:paraId="0000027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Derechos Humanos; Diferencial; Territorial</w:t>
            </w:r>
          </w:p>
        </w:tc>
      </w:tr>
      <w:tr>
        <w:trPr>
          <w:cantSplit w:val="0"/>
          <w:trHeight w:val="178" w:hRule="atLeast"/>
          <w:tblHeader w:val="0"/>
        </w:trPr>
        <w:tc>
          <w:tcPr>
            <w:gridSpan w:val="7"/>
            <w:vAlign w:val="center"/>
          </w:tcPr>
          <w:p w:rsidR="00000000" w:rsidDel="00000000" w:rsidP="00000000" w:rsidRDefault="00000000" w:rsidRPr="00000000" w14:paraId="0000028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Objetivo de desarrollo sostenible -ODS-</w:t>
            </w:r>
          </w:p>
        </w:tc>
        <w:tc>
          <w:tcPr>
            <w:gridSpan w:val="8"/>
            <w:vAlign w:val="center"/>
          </w:tcPr>
          <w:p w:rsidR="00000000" w:rsidDel="00000000" w:rsidP="00000000" w:rsidRDefault="00000000" w:rsidRPr="00000000" w14:paraId="0000028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Educación de Calidad</w:t>
            </w:r>
          </w:p>
        </w:tc>
        <w:tc>
          <w:tcPr>
            <w:gridSpan w:val="7"/>
            <w:vAlign w:val="center"/>
          </w:tcPr>
          <w:p w:rsidR="00000000" w:rsidDel="00000000" w:rsidP="00000000" w:rsidRDefault="00000000" w:rsidRPr="00000000" w14:paraId="0000029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Código ODS</w:t>
            </w:r>
          </w:p>
        </w:tc>
        <w:tc>
          <w:tcPr>
            <w:vAlign w:val="center"/>
          </w:tcPr>
          <w:p w:rsidR="00000000" w:rsidDel="00000000" w:rsidP="00000000" w:rsidRDefault="00000000" w:rsidRPr="00000000" w14:paraId="0000029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ODS 4 </w:t>
            </w:r>
          </w:p>
        </w:tc>
      </w:tr>
      <w:tr>
        <w:trPr>
          <w:cantSplit w:val="0"/>
          <w:trHeight w:val="73" w:hRule="atLeast"/>
          <w:tblHeader w:val="0"/>
        </w:trPr>
        <w:tc>
          <w:tcPr>
            <w:gridSpan w:val="23"/>
            <w:vAlign w:val="center"/>
          </w:tcPr>
          <w:p w:rsidR="00000000" w:rsidDel="00000000" w:rsidP="00000000" w:rsidRDefault="00000000" w:rsidRPr="00000000" w14:paraId="0000029E">
            <w:pPr>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RESPONSABLE DEL PRODUCTO </w:t>
            </w:r>
          </w:p>
        </w:tc>
      </w:tr>
      <w:tr>
        <w:trPr>
          <w:cantSplit w:val="0"/>
          <w:trHeight w:val="73" w:hRule="atLeast"/>
          <w:tblHeader w:val="0"/>
        </w:trPr>
        <w:tc>
          <w:tcPr>
            <w:gridSpan w:val="5"/>
            <w:vAlign w:val="center"/>
          </w:tcPr>
          <w:p w:rsidR="00000000" w:rsidDel="00000000" w:rsidP="00000000" w:rsidRDefault="00000000" w:rsidRPr="00000000" w14:paraId="000002B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Nombre del funcionario responsable del indicador</w:t>
            </w:r>
          </w:p>
        </w:tc>
        <w:tc>
          <w:tcPr>
            <w:gridSpan w:val="3"/>
            <w:vAlign w:val="center"/>
          </w:tcPr>
          <w:p w:rsidR="00000000" w:rsidDel="00000000" w:rsidP="00000000" w:rsidRDefault="00000000" w:rsidRPr="00000000" w14:paraId="000002B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Patricia del Carmen Diaz Castro</w:t>
            </w:r>
          </w:p>
        </w:tc>
        <w:tc>
          <w:tcPr>
            <w:gridSpan w:val="2"/>
            <w:vAlign w:val="center"/>
          </w:tcPr>
          <w:p w:rsidR="00000000" w:rsidDel="00000000" w:rsidP="00000000" w:rsidRDefault="00000000" w:rsidRPr="00000000" w14:paraId="000002B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Dependencia </w:t>
            </w:r>
          </w:p>
        </w:tc>
        <w:tc>
          <w:tcPr>
            <w:gridSpan w:val="4"/>
            <w:vAlign w:val="center"/>
          </w:tcPr>
          <w:p w:rsidR="00000000" w:rsidDel="00000000" w:rsidP="00000000" w:rsidRDefault="00000000" w:rsidRPr="00000000" w14:paraId="000002B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División de promoción cultural</w:t>
            </w:r>
          </w:p>
        </w:tc>
        <w:tc>
          <w:tcPr>
            <w:gridSpan w:val="4"/>
            <w:vAlign w:val="center"/>
          </w:tcPr>
          <w:p w:rsidR="00000000" w:rsidDel="00000000" w:rsidP="00000000" w:rsidRDefault="00000000" w:rsidRPr="00000000" w14:paraId="000002C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Correo electrónico </w:t>
            </w:r>
          </w:p>
        </w:tc>
        <w:tc>
          <w:tcPr>
            <w:gridSpan w:val="5"/>
            <w:vAlign w:val="center"/>
          </w:tcPr>
          <w:p w:rsidR="00000000" w:rsidDel="00000000" w:rsidP="00000000" w:rsidRDefault="00000000" w:rsidRPr="00000000" w14:paraId="000002C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coord.bibliotecasyfiestas@ipcc.gov.co</w:t>
            </w:r>
          </w:p>
        </w:tc>
      </w:tr>
    </w:tbl>
    <w:p w:rsidR="00000000" w:rsidDel="00000000" w:rsidP="00000000" w:rsidRDefault="00000000" w:rsidRPr="00000000" w14:paraId="000002CC">
      <w:pPr>
        <w:rPr>
          <w:rFonts w:ascii="Times New Roman" w:cs="Times New Roman" w:eastAsia="Times New Roman" w:hAnsi="Times New Roman"/>
          <w:b w:val="1"/>
          <w:bCs w:val="1"/>
          <w:sz w:val="20"/>
          <w:szCs w:val="20"/>
        </w:rPr>
      </w:pPr>
      <w:r w:rsidDel="00000000" w:rsidR="00000000" w:rsidRPr="00000000">
        <w:rPr>
          <w:rtl w:val="0"/>
        </w:rPr>
      </w:r>
    </w:p>
    <w:tbl>
      <w:tblPr>
        <w:tblStyle w:val="Table3"/>
        <w:tblW w:w="112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5"/>
        <w:gridCol w:w="2325"/>
        <w:gridCol w:w="1215"/>
        <w:gridCol w:w="2370"/>
        <w:gridCol w:w="1155"/>
        <w:gridCol w:w="2940"/>
        <w:tblGridChange w:id="0">
          <w:tblGrid>
            <w:gridCol w:w="1275"/>
            <w:gridCol w:w="2325"/>
            <w:gridCol w:w="1215"/>
            <w:gridCol w:w="2370"/>
            <w:gridCol w:w="1155"/>
            <w:gridCol w:w="2940"/>
          </w:tblGrid>
        </w:tblGridChange>
      </w:tblGrid>
      <w:tr>
        <w:trPr>
          <w:cantSplit w:val="0"/>
          <w:tblHeader w:val="0"/>
        </w:trPr>
        <w:tc>
          <w:tcPr>
            <w:vAlign w:val="center"/>
          </w:tcPr>
          <w:p w:rsidR="00000000" w:rsidDel="00000000" w:rsidP="00000000" w:rsidRDefault="00000000" w:rsidRPr="00000000" w14:paraId="000002C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Viabilidad técnica </w:t>
            </w:r>
          </w:p>
          <w:p w:rsidR="00000000" w:rsidDel="00000000" w:rsidP="00000000" w:rsidRDefault="00000000" w:rsidRPr="00000000" w14:paraId="000002C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SDP</w:t>
            </w:r>
          </w:p>
        </w:tc>
        <w:tc>
          <w:tcPr>
            <w:vAlign w:val="center"/>
          </w:tcPr>
          <w:p w:rsidR="00000000" w:rsidDel="00000000" w:rsidP="00000000" w:rsidRDefault="00000000" w:rsidRPr="00000000" w14:paraId="000002C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Visto bueno: Secretaría de Planeación Distrital</w:t>
            </w:r>
            <w:r w:rsidDel="00000000" w:rsidR="00000000" w:rsidRPr="00000000">
              <w:rPr>
                <w:rtl w:val="0"/>
              </w:rPr>
            </w:r>
          </w:p>
        </w:tc>
        <w:tc>
          <w:tcPr>
            <w:vAlign w:val="center"/>
          </w:tcPr>
          <w:p w:rsidR="00000000" w:rsidDel="00000000" w:rsidP="00000000" w:rsidRDefault="00000000" w:rsidRPr="00000000" w14:paraId="000002D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Aprobación Entidad coordinadora</w:t>
            </w:r>
          </w:p>
        </w:tc>
        <w:tc>
          <w:tcPr>
            <w:vAlign w:val="center"/>
          </w:tcPr>
          <w:p w:rsidR="00000000" w:rsidDel="00000000" w:rsidP="00000000" w:rsidRDefault="00000000" w:rsidRPr="00000000" w14:paraId="000002D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Visto bueno: Entidad coordinadora de política</w:t>
            </w:r>
            <w:r w:rsidDel="00000000" w:rsidR="00000000" w:rsidRPr="00000000">
              <w:rPr>
                <w:rtl w:val="0"/>
              </w:rPr>
            </w:r>
          </w:p>
        </w:tc>
        <w:tc>
          <w:tcPr>
            <w:vAlign w:val="center"/>
          </w:tcPr>
          <w:p w:rsidR="00000000" w:rsidDel="00000000" w:rsidP="00000000" w:rsidRDefault="00000000" w:rsidRPr="00000000" w14:paraId="000002D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Viabilidad </w:t>
            </w:r>
          </w:p>
          <w:p w:rsidR="00000000" w:rsidDel="00000000" w:rsidP="00000000" w:rsidRDefault="00000000" w:rsidRPr="00000000" w14:paraId="000002D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Entidad responsable </w:t>
            </w:r>
          </w:p>
        </w:tc>
        <w:tc>
          <w:tcPr>
            <w:vAlign w:val="center"/>
          </w:tcPr>
          <w:p w:rsidR="00000000" w:rsidDel="00000000" w:rsidP="00000000" w:rsidRDefault="00000000" w:rsidRPr="00000000" w14:paraId="000002D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Visto bueno: Entidad proyectada para la implementación</w:t>
            </w:r>
            <w:r w:rsidDel="00000000" w:rsidR="00000000" w:rsidRPr="00000000">
              <w:rPr>
                <w:rtl w:val="0"/>
              </w:rPr>
            </w:r>
          </w:p>
        </w:tc>
      </w:tr>
    </w:tbl>
    <w:p w:rsidR="00000000" w:rsidDel="00000000" w:rsidP="00000000" w:rsidRDefault="00000000" w:rsidRPr="00000000" w14:paraId="000002D5">
      <w:pPr>
        <w:rPr>
          <w:rFonts w:ascii="Times New Roman" w:cs="Times New Roman" w:eastAsia="Times New Roman" w:hAnsi="Times New Roman"/>
          <w:sz w:val="20"/>
          <w:szCs w:val="20"/>
        </w:rPr>
      </w:pPr>
      <w:r w:rsidDel="00000000" w:rsidR="00000000" w:rsidRPr="00000000">
        <w:rPr>
          <w:rtl w:val="0"/>
        </w:rPr>
      </w:r>
    </w:p>
    <w:sectPr>
      <w:headerReference r:id="rId8" w:type="defaul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4"/>
      <w:tblW w:w="18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567"/>
      <w:tblGridChange w:id="0">
        <w:tblGrid>
          <w:gridCol w:w="1271"/>
          <w:gridCol w:w="567"/>
        </w:tblGrid>
      </w:tblGridChange>
    </w:tblGrid>
    <w:tr>
      <w:trPr>
        <w:cantSplit w:val="0"/>
        <w:tblHeader w:val="0"/>
      </w:trPr>
      <w:tc>
        <w:tcPr/>
        <w:p w:rsidR="00000000" w:rsidDel="00000000" w:rsidP="00000000" w:rsidRDefault="00000000" w:rsidRPr="00000000" w14:paraId="000002D7">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No. de Página</w:t>
          </w:r>
        </w:p>
      </w:tc>
      <w:tc>
        <w:tcPr/>
        <w:p w:rsidR="00000000" w:rsidDel="00000000" w:rsidP="00000000" w:rsidRDefault="00000000" w:rsidRPr="00000000" w14:paraId="000002D8">
          <w:pPr>
            <w:pBdr>
              <w:top w:space="0" w:sz="0" w:val="nil"/>
              <w:left w:space="0" w:sz="0" w:val="nil"/>
              <w:bottom w:space="0" w:sz="0" w:val="nil"/>
              <w:right w:space="0" w:sz="0" w:val="nil"/>
              <w:between w:space="0" w:sz="0" w:val="nil"/>
            </w:pBdr>
            <w:tabs>
              <w:tab w:val="center" w:leader="none" w:pos="4419"/>
              <w:tab w:val="right" w:leader="none" w:pos="8838"/>
            </w:tabs>
            <w:rPr>
              <w:rFonts w:ascii="Arial" w:cs="Arial" w:eastAsia="Arial" w:hAnsi="Arial"/>
              <w:color w:val="000000"/>
              <w:sz w:val="18"/>
              <w:szCs w:val="18"/>
            </w:rPr>
          </w:pPr>
          <w:r w:rsidDel="00000000" w:rsidR="00000000" w:rsidRPr="00000000">
            <w:rPr>
              <w:rtl w:val="0"/>
            </w:rPr>
          </w:r>
        </w:p>
      </w:tc>
    </w:tr>
  </w:tbl>
  <w:p w:rsidR="00000000" w:rsidDel="00000000" w:rsidP="00000000" w:rsidRDefault="00000000" w:rsidRPr="00000000" w14:paraId="000002D9">
    <w:pPr>
      <w:pBdr>
        <w:top w:space="0" w:sz="0" w:val="nil"/>
        <w:left w:space="0" w:sz="0" w:val="nil"/>
        <w:bottom w:space="0" w:sz="0" w:val="nil"/>
        <w:right w:space="0" w:sz="0" w:val="nil"/>
        <w:between w:space="0" w:sz="0" w:val="nil"/>
      </w:pBdr>
      <w:tabs>
        <w:tab w:val="center" w:leader="none" w:pos="4419"/>
        <w:tab w:val="right" w:leader="none" w:pos="8838"/>
      </w:tabs>
      <w:rPr>
        <w:color w:val="00000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08.0" w:type="dxa"/>
        <w:right w:w="108.0" w:type="dxa"/>
      </w:tblCellMar>
    </w:tblPr>
  </w:style>
  <w:style w:type="character" w:styleId="Refdecomentario">
    <w:name w:val="annotation reference"/>
    <w:basedOn w:val="Fuentedeprrafopredeter"/>
    <w:uiPriority w:val="99"/>
    <w:semiHidden w:val="1"/>
    <w:unhideWhenUsed w:val="1"/>
    <w:rsid w:val="00D4386B"/>
    <w:rPr>
      <w:sz w:val="16"/>
      <w:szCs w:val="16"/>
    </w:rPr>
  </w:style>
  <w:style w:type="paragraph" w:styleId="Textocomentario">
    <w:name w:val="annotation text"/>
    <w:basedOn w:val="Normal"/>
    <w:link w:val="TextocomentarioCar"/>
    <w:uiPriority w:val="99"/>
    <w:semiHidden w:val="1"/>
    <w:unhideWhenUsed w:val="1"/>
    <w:rsid w:val="00D4386B"/>
    <w:rPr>
      <w:sz w:val="20"/>
      <w:szCs w:val="20"/>
    </w:rPr>
  </w:style>
  <w:style w:type="character" w:styleId="TextocomentarioCar" w:customStyle="1">
    <w:name w:val="Texto comentario Car"/>
    <w:basedOn w:val="Fuentedeprrafopredeter"/>
    <w:link w:val="Textocomentario"/>
    <w:uiPriority w:val="99"/>
    <w:semiHidden w:val="1"/>
    <w:rsid w:val="00D4386B"/>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4386B"/>
    <w:rPr>
      <w:b w:val="1"/>
      <w:bCs w:val="1"/>
    </w:rPr>
  </w:style>
  <w:style w:type="character" w:styleId="AsuntodelcomentarioCar" w:customStyle="1">
    <w:name w:val="Asunto del comentario Car"/>
    <w:basedOn w:val="TextocomentarioCar"/>
    <w:link w:val="Asuntodelcomentario"/>
    <w:uiPriority w:val="99"/>
    <w:semiHidden w:val="1"/>
    <w:rsid w:val="00D4386B"/>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AOMjoM/F/kImQiFZepAy3jPwZw==">CgMxLjA4AHIhMTk0UHV2Vmd3VHkwa2xLbXNQenB4Z3kyeXd1NVRabUpv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2025-08-13T03:07:00Z</dcterms:created>
  <dc:creator>Fernando Montero Polo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c8cfc27fa528bafd96a07ae30b95539e38b1537986d01b28707c58e5987e45a8</vt:lpwstr>
  </property>
</Properties>
</file>