
<file path=[Content_Types].xml><?xml version="1.0" encoding="utf-8"?>
<Types xmlns="http://schemas.openxmlformats.org/package/2006/content-types">
  <Default ContentType="application/xml" Extension="xml"/>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widowControl w:val="0"/>
        <w:pBdr>
          <w:top w:space="0" w:sz="0" w:val="nil"/>
          <w:left w:space="0" w:sz="0" w:val="nil"/>
          <w:bottom w:space="0" w:sz="0" w:val="nil"/>
          <w:right w:space="0" w:sz="0" w:val="nil"/>
          <w:between w:space="0" w:sz="0" w:val="nil"/>
        </w:pBdr>
        <w:spacing w:line="276" w:lineRule="auto"/>
        <w:rPr>
          <w:rFonts w:ascii="Times New Roman" w:cs="Times New Roman" w:eastAsia="Times New Roman" w:hAnsi="Times New Roman"/>
          <w:sz w:val="2"/>
          <w:szCs w:val="2"/>
        </w:rPr>
      </w:pPr>
      <w:r w:rsidDel="00000000" w:rsidR="00000000" w:rsidRPr="00000000">
        <w:rPr>
          <w:rtl w:val="0"/>
        </w:rPr>
      </w:r>
    </w:p>
    <w:tbl>
      <w:tblPr>
        <w:tblStyle w:val="Table1"/>
        <w:tblpPr w:leftFromText="141" w:rightFromText="141" w:topFromText="0" w:bottomFromText="0" w:vertAnchor="page" w:horzAnchor="margin" w:tblpX="0" w:tblpY="1038"/>
        <w:tblW w:w="10953.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509"/>
        <w:gridCol w:w="225"/>
        <w:gridCol w:w="75"/>
        <w:gridCol w:w="75"/>
        <w:gridCol w:w="277"/>
        <w:gridCol w:w="331"/>
        <w:gridCol w:w="566"/>
        <w:gridCol w:w="460"/>
        <w:gridCol w:w="661"/>
        <w:gridCol w:w="610"/>
        <w:gridCol w:w="358"/>
        <w:gridCol w:w="1243"/>
        <w:gridCol w:w="210"/>
        <w:gridCol w:w="15"/>
        <w:gridCol w:w="323"/>
        <w:gridCol w:w="420"/>
        <w:gridCol w:w="142"/>
        <w:gridCol w:w="244"/>
        <w:gridCol w:w="702"/>
        <w:gridCol w:w="26"/>
        <w:gridCol w:w="1028"/>
        <w:gridCol w:w="326"/>
        <w:gridCol w:w="1127"/>
        <w:tblGridChange w:id="0">
          <w:tblGrid>
            <w:gridCol w:w="1509"/>
            <w:gridCol w:w="225"/>
            <w:gridCol w:w="75"/>
            <w:gridCol w:w="75"/>
            <w:gridCol w:w="277"/>
            <w:gridCol w:w="331"/>
            <w:gridCol w:w="566"/>
            <w:gridCol w:w="460"/>
            <w:gridCol w:w="661"/>
            <w:gridCol w:w="610"/>
            <w:gridCol w:w="358"/>
            <w:gridCol w:w="1243"/>
            <w:gridCol w:w="210"/>
            <w:gridCol w:w="15"/>
            <w:gridCol w:w="323"/>
            <w:gridCol w:w="420"/>
            <w:gridCol w:w="142"/>
            <w:gridCol w:w="244"/>
            <w:gridCol w:w="702"/>
            <w:gridCol w:w="26"/>
            <w:gridCol w:w="1028"/>
            <w:gridCol w:w="326"/>
            <w:gridCol w:w="1127"/>
          </w:tblGrid>
        </w:tblGridChange>
      </w:tblGrid>
      <w:tr>
        <w:trPr>
          <w:cantSplit w:val="0"/>
          <w:trHeight w:val="133" w:hRule="atLeast"/>
          <w:tblHeader w:val="1"/>
        </w:trPr>
        <w:tc>
          <w:tcPr>
            <w:gridSpan w:val="2"/>
            <w:vAlign w:val="center"/>
          </w:tcPr>
          <w:p w:rsidR="00000000" w:rsidDel="00000000" w:rsidP="00000000" w:rsidRDefault="00000000" w:rsidRPr="00000000" w14:paraId="00000002">
            <w:pPr>
              <w:pStyle w:val="Heading2"/>
              <w:rPr>
                <w:rFonts w:ascii="Times New Roman" w:cs="Times New Roman" w:eastAsia="Times New Roman" w:hAnsi="Times New Roman"/>
                <w:color w:val="000000"/>
                <w:sz w:val="16"/>
                <w:szCs w:val="16"/>
              </w:rPr>
            </w:pPr>
            <w:r w:rsidDel="00000000" w:rsidR="00000000" w:rsidRPr="00000000">
              <w:rPr>
                <w:rFonts w:ascii="Times New Roman" w:cs="Times New Roman" w:eastAsia="Times New Roman" w:hAnsi="Times New Roman"/>
                <w:color w:val="000000"/>
                <w:sz w:val="16"/>
                <w:szCs w:val="16"/>
                <w:rtl w:val="0"/>
              </w:rPr>
              <w:t xml:space="preserve">Versión 2</w:t>
            </w:r>
          </w:p>
        </w:tc>
        <w:tc>
          <w:tcPr>
            <w:gridSpan w:val="4"/>
            <w:vAlign w:val="center"/>
          </w:tcPr>
          <w:p w:rsidR="00000000" w:rsidDel="00000000" w:rsidP="00000000" w:rsidRDefault="00000000" w:rsidRPr="00000000" w14:paraId="00000004">
            <w:pPr>
              <w:jc w:val="center"/>
              <w:rPr>
                <w:rFonts w:ascii="Times New Roman" w:cs="Times New Roman" w:eastAsia="Times New Roman" w:hAnsi="Times New Roman"/>
                <w:b w:val="1"/>
                <w:bCs w:val="1"/>
                <w:sz w:val="16"/>
                <w:szCs w:val="16"/>
              </w:rPr>
            </w:pPr>
            <w:r w:rsidDel="00000000" w:rsidR="00000000" w:rsidRPr="00000000">
              <w:rPr>
                <w:rFonts w:ascii="Times New Roman" w:cs="Times New Roman" w:eastAsia="Times New Roman" w:hAnsi="Times New Roman"/>
                <w:b w:val="1"/>
                <w:bCs w:val="1"/>
                <w:i w:val="1"/>
                <w:iCs w:val="1"/>
                <w:sz w:val="16"/>
                <w:szCs w:val="16"/>
                <w:rtl w:val="0"/>
              </w:rPr>
              <w:t xml:space="preserve">P 2.1.1</w:t>
            </w:r>
            <w:r w:rsidDel="00000000" w:rsidR="00000000" w:rsidRPr="00000000">
              <w:rPr>
                <w:rtl w:val="0"/>
              </w:rPr>
            </w:r>
          </w:p>
        </w:tc>
      </w:tr>
      <w:tr>
        <w:trPr>
          <w:cantSplit w:val="0"/>
          <w:trHeight w:val="562" w:hRule="atLeast"/>
          <w:tblHeader w:val="0"/>
        </w:trPr>
        <w:tc>
          <w:tcPr>
            <w:gridSpan w:val="16"/>
            <w:vAlign w:val="center"/>
          </w:tcPr>
          <w:p w:rsidR="00000000" w:rsidDel="00000000" w:rsidP="00000000" w:rsidRDefault="00000000" w:rsidRPr="00000000" w14:paraId="00000008">
            <w:pPr>
              <w:jc w:val="center"/>
              <w:rPr>
                <w:rFonts w:ascii="Times New Roman" w:cs="Times New Roman" w:eastAsia="Times New Roman" w:hAnsi="Times New Roman"/>
                <w:b w:val="1"/>
                <w:bCs w:val="1"/>
                <w:sz w:val="16"/>
                <w:szCs w:val="16"/>
              </w:rPr>
            </w:pPr>
            <w:r w:rsidDel="00000000" w:rsidR="00000000" w:rsidRPr="00000000">
              <w:rPr>
                <w:rFonts w:ascii="Times New Roman" w:cs="Times New Roman" w:eastAsia="Times New Roman" w:hAnsi="Times New Roman"/>
                <w:b w:val="1"/>
                <w:bCs w:val="1"/>
                <w:sz w:val="16"/>
                <w:szCs w:val="16"/>
                <w:rtl w:val="0"/>
              </w:rPr>
              <w:t xml:space="preserve">ALCALDÍA MAYOR DE CARTAGENA DE INDIAS</w:t>
            </w:r>
          </w:p>
          <w:p w:rsidR="00000000" w:rsidDel="00000000" w:rsidP="00000000" w:rsidRDefault="00000000" w:rsidRPr="00000000" w14:paraId="00000009">
            <w:pPr>
              <w:jc w:val="center"/>
              <w:rPr>
                <w:rFonts w:ascii="Times New Roman" w:cs="Times New Roman" w:eastAsia="Times New Roman" w:hAnsi="Times New Roman"/>
                <w:b w:val="1"/>
                <w:bCs w:val="1"/>
                <w:sz w:val="16"/>
                <w:szCs w:val="16"/>
              </w:rPr>
            </w:pPr>
            <w:r w:rsidDel="00000000" w:rsidR="00000000" w:rsidRPr="00000000">
              <w:rPr>
                <w:rFonts w:ascii="Times New Roman" w:cs="Times New Roman" w:eastAsia="Times New Roman" w:hAnsi="Times New Roman"/>
                <w:b w:val="1"/>
                <w:bCs w:val="1"/>
                <w:sz w:val="16"/>
                <w:szCs w:val="16"/>
                <w:rtl w:val="0"/>
              </w:rPr>
              <w:t xml:space="preserve">CONSEJO DE POLÍTICA ECONÓMICA Y SOCIAL DEL DISTRITO DE CARTAGENA DE INDIAS. CONPES D. T. y C.</w:t>
            </w:r>
          </w:p>
          <w:p w:rsidR="00000000" w:rsidDel="00000000" w:rsidP="00000000" w:rsidRDefault="00000000" w:rsidRPr="00000000" w14:paraId="0000000A">
            <w:pPr>
              <w:jc w:val="center"/>
              <w:rPr>
                <w:rFonts w:ascii="Times New Roman" w:cs="Times New Roman" w:eastAsia="Times New Roman" w:hAnsi="Times New Roman"/>
                <w:b w:val="1"/>
                <w:bCs w:val="1"/>
                <w:i w:val="1"/>
                <w:iCs w:val="1"/>
                <w:sz w:val="16"/>
                <w:szCs w:val="16"/>
              </w:rPr>
            </w:pPr>
            <w:r w:rsidDel="00000000" w:rsidR="00000000" w:rsidRPr="00000000">
              <w:rPr>
                <w:rFonts w:ascii="Times New Roman" w:cs="Times New Roman" w:eastAsia="Times New Roman" w:hAnsi="Times New Roman"/>
                <w:b w:val="1"/>
                <w:bCs w:val="1"/>
                <w:i w:val="1"/>
                <w:iCs w:val="1"/>
                <w:sz w:val="16"/>
                <w:szCs w:val="16"/>
                <w:rtl w:val="0"/>
              </w:rPr>
              <w:t xml:space="preserve">Secretaría Distrital de Planeación </w:t>
            </w:r>
          </w:p>
        </w:tc>
        <w:tc>
          <w:tcPr>
            <w:gridSpan w:val="7"/>
            <w:vAlign w:val="center"/>
          </w:tcPr>
          <w:p w:rsidR="00000000" w:rsidDel="00000000" w:rsidP="00000000" w:rsidRDefault="00000000" w:rsidRPr="00000000" w14:paraId="0000001A">
            <w:pPr>
              <w:jc w:val="center"/>
              <w:rPr>
                <w:rFonts w:ascii="Times New Roman" w:cs="Times New Roman" w:eastAsia="Times New Roman" w:hAnsi="Times New Roman"/>
                <w:b w:val="1"/>
                <w:bCs w:val="1"/>
                <w:sz w:val="16"/>
                <w:szCs w:val="16"/>
              </w:rPr>
            </w:pPr>
            <w:r w:rsidDel="00000000" w:rsidR="00000000" w:rsidRPr="00000000">
              <w:rPr>
                <w:rFonts w:ascii="Times New Roman" w:cs="Times New Roman" w:eastAsia="Times New Roman" w:hAnsi="Times New Roman"/>
                <w:b w:val="1"/>
                <w:bCs w:val="1"/>
                <w:sz w:val="16"/>
                <w:szCs w:val="16"/>
              </w:rPr>
              <w:drawing>
                <wp:inline distB="0" distT="0" distL="0" distR="0">
                  <wp:extent cx="1298187" cy="368734"/>
                  <wp:effectExtent b="0" l="0" r="0" t="0"/>
                  <wp:docPr id="2" name="image1.png"/>
                  <a:graphic>
                    <a:graphicData uri="http://schemas.openxmlformats.org/drawingml/2006/picture">
                      <pic:pic>
                        <pic:nvPicPr>
                          <pic:cNvPr id="0" name="image1.png"/>
                          <pic:cNvPicPr preferRelativeResize="0"/>
                        </pic:nvPicPr>
                        <pic:blipFill>
                          <a:blip r:embed="rId7"/>
                          <a:srcRect b="34287" l="15642" r="14937" t="33518"/>
                          <a:stretch>
                            <a:fillRect/>
                          </a:stretch>
                        </pic:blipFill>
                        <pic:spPr>
                          <a:xfrm>
                            <a:off x="0" y="0"/>
                            <a:ext cx="1298187" cy="368734"/>
                          </a:xfrm>
                          <a:prstGeom prst="rect"/>
                          <a:ln/>
                        </pic:spPr>
                      </pic:pic>
                    </a:graphicData>
                  </a:graphic>
                </wp:inline>
              </w:drawing>
            </w:r>
            <w:r w:rsidDel="00000000" w:rsidR="00000000" w:rsidRPr="00000000">
              <w:rPr>
                <w:rtl w:val="0"/>
              </w:rPr>
            </w:r>
          </w:p>
        </w:tc>
      </w:tr>
      <w:tr>
        <w:trPr>
          <w:cantSplit w:val="0"/>
          <w:tblHeader w:val="0"/>
        </w:trPr>
        <w:tc>
          <w:tcPr>
            <w:gridSpan w:val="8"/>
            <w:vAlign w:val="center"/>
          </w:tcPr>
          <w:p w:rsidR="00000000" w:rsidDel="00000000" w:rsidP="00000000" w:rsidRDefault="00000000" w:rsidRPr="00000000" w14:paraId="00000021">
            <w:pPr>
              <w:rPr>
                <w:rFonts w:ascii="Times New Roman" w:cs="Times New Roman" w:eastAsia="Times New Roman" w:hAnsi="Times New Roman"/>
                <w:sz w:val="16"/>
                <w:szCs w:val="16"/>
              </w:rPr>
            </w:pPr>
            <w:r w:rsidDel="00000000" w:rsidR="00000000" w:rsidRPr="00000000">
              <w:rPr>
                <w:rFonts w:ascii="Times New Roman" w:cs="Times New Roman" w:eastAsia="Times New Roman" w:hAnsi="Times New Roman"/>
                <w:sz w:val="16"/>
                <w:szCs w:val="16"/>
                <w:rtl w:val="0"/>
              </w:rPr>
              <w:t xml:space="preserve">Entidad coordinadora de Política Pública </w:t>
            </w:r>
          </w:p>
        </w:tc>
        <w:tc>
          <w:tcPr>
            <w:gridSpan w:val="15"/>
            <w:vAlign w:val="center"/>
          </w:tcPr>
          <w:p w:rsidR="00000000" w:rsidDel="00000000" w:rsidP="00000000" w:rsidRDefault="00000000" w:rsidRPr="00000000" w14:paraId="00000029">
            <w:pPr>
              <w:rPr>
                <w:rFonts w:ascii="Times New Roman" w:cs="Times New Roman" w:eastAsia="Times New Roman" w:hAnsi="Times New Roman"/>
                <w:sz w:val="16"/>
                <w:szCs w:val="16"/>
              </w:rPr>
            </w:pPr>
            <w:r w:rsidDel="00000000" w:rsidR="00000000" w:rsidRPr="00000000">
              <w:rPr>
                <w:rFonts w:ascii="Times New Roman" w:cs="Times New Roman" w:eastAsia="Times New Roman" w:hAnsi="Times New Roman"/>
                <w:sz w:val="16"/>
                <w:szCs w:val="16"/>
                <w:rtl w:val="0"/>
              </w:rPr>
              <w:t xml:space="preserve">Instituto de Patrimonio y Cultura de Cartagena - IPCC</w:t>
            </w:r>
          </w:p>
        </w:tc>
      </w:tr>
      <w:tr>
        <w:trPr>
          <w:cantSplit w:val="0"/>
          <w:tblHeader w:val="0"/>
        </w:trPr>
        <w:tc>
          <w:tcPr>
            <w:vAlign w:val="center"/>
          </w:tcPr>
          <w:p w:rsidR="00000000" w:rsidDel="00000000" w:rsidP="00000000" w:rsidRDefault="00000000" w:rsidRPr="00000000" w14:paraId="00000038">
            <w:pPr>
              <w:rPr>
                <w:rFonts w:ascii="Times New Roman" w:cs="Times New Roman" w:eastAsia="Times New Roman" w:hAnsi="Times New Roman"/>
                <w:sz w:val="16"/>
                <w:szCs w:val="16"/>
              </w:rPr>
            </w:pPr>
            <w:r w:rsidDel="00000000" w:rsidR="00000000" w:rsidRPr="00000000">
              <w:rPr>
                <w:rFonts w:ascii="Times New Roman" w:cs="Times New Roman" w:eastAsia="Times New Roman" w:hAnsi="Times New Roman"/>
                <w:sz w:val="16"/>
                <w:szCs w:val="16"/>
                <w:rtl w:val="0"/>
              </w:rPr>
              <w:t xml:space="preserve">Política Pública</w:t>
            </w:r>
          </w:p>
        </w:tc>
        <w:tc>
          <w:tcPr>
            <w:gridSpan w:val="10"/>
            <w:vAlign w:val="center"/>
          </w:tcPr>
          <w:p w:rsidR="00000000" w:rsidDel="00000000" w:rsidP="00000000" w:rsidRDefault="00000000" w:rsidRPr="00000000" w14:paraId="00000039">
            <w:pPr>
              <w:rPr>
                <w:rFonts w:ascii="Times New Roman" w:cs="Times New Roman" w:eastAsia="Times New Roman" w:hAnsi="Times New Roman"/>
                <w:sz w:val="16"/>
                <w:szCs w:val="16"/>
              </w:rPr>
            </w:pPr>
            <w:r w:rsidDel="00000000" w:rsidR="00000000" w:rsidRPr="00000000">
              <w:rPr>
                <w:rFonts w:ascii="Times New Roman" w:cs="Times New Roman" w:eastAsia="Times New Roman" w:hAnsi="Times New Roman"/>
                <w:sz w:val="16"/>
                <w:szCs w:val="16"/>
                <w:rtl w:val="0"/>
              </w:rPr>
              <w:t xml:space="preserve">Plan Distrital de Bibliotecas, Lectura, Escritura y Oralidad</w:t>
            </w:r>
          </w:p>
        </w:tc>
        <w:tc>
          <w:tcPr>
            <w:gridSpan w:val="4"/>
            <w:vAlign w:val="center"/>
          </w:tcPr>
          <w:p w:rsidR="00000000" w:rsidDel="00000000" w:rsidP="00000000" w:rsidRDefault="00000000" w:rsidRPr="00000000" w14:paraId="00000043">
            <w:pPr>
              <w:rPr>
                <w:rFonts w:ascii="Times New Roman" w:cs="Times New Roman" w:eastAsia="Times New Roman" w:hAnsi="Times New Roman"/>
                <w:sz w:val="16"/>
                <w:szCs w:val="16"/>
              </w:rPr>
            </w:pPr>
            <w:r w:rsidDel="00000000" w:rsidR="00000000" w:rsidRPr="00000000">
              <w:rPr>
                <w:rFonts w:ascii="Times New Roman" w:cs="Times New Roman" w:eastAsia="Times New Roman" w:hAnsi="Times New Roman"/>
                <w:sz w:val="16"/>
                <w:szCs w:val="16"/>
                <w:rtl w:val="0"/>
              </w:rPr>
              <w:t xml:space="preserve">Número de Documento CONPES</w:t>
            </w:r>
          </w:p>
        </w:tc>
        <w:tc>
          <w:tcPr>
            <w:gridSpan w:val="8"/>
            <w:vAlign w:val="center"/>
          </w:tcPr>
          <w:p w:rsidR="00000000" w:rsidDel="00000000" w:rsidP="00000000" w:rsidRDefault="00000000" w:rsidRPr="00000000" w14:paraId="00000047">
            <w:pPr>
              <w:rPr>
                <w:rFonts w:ascii="Times New Roman" w:cs="Times New Roman" w:eastAsia="Times New Roman" w:hAnsi="Times New Roman"/>
                <w:sz w:val="16"/>
                <w:szCs w:val="16"/>
              </w:rPr>
            </w:pPr>
            <w:r w:rsidDel="00000000" w:rsidR="00000000" w:rsidRPr="00000000">
              <w:rPr>
                <w:rtl w:val="0"/>
              </w:rPr>
            </w:r>
          </w:p>
        </w:tc>
      </w:tr>
      <w:tr>
        <w:trPr>
          <w:cantSplit w:val="0"/>
          <w:tblHeader w:val="0"/>
        </w:trPr>
        <w:tc>
          <w:tcPr>
            <w:gridSpan w:val="23"/>
            <w:vAlign w:val="center"/>
          </w:tcPr>
          <w:p w:rsidR="00000000" w:rsidDel="00000000" w:rsidP="00000000" w:rsidRDefault="00000000" w:rsidRPr="00000000" w14:paraId="0000004F">
            <w:pPr>
              <w:jc w:val="center"/>
              <w:rPr>
                <w:rFonts w:ascii="Times New Roman" w:cs="Times New Roman" w:eastAsia="Times New Roman" w:hAnsi="Times New Roman"/>
                <w:b w:val="1"/>
                <w:bCs w:val="1"/>
                <w:sz w:val="16"/>
                <w:szCs w:val="16"/>
              </w:rPr>
            </w:pPr>
            <w:r w:rsidDel="00000000" w:rsidR="00000000" w:rsidRPr="00000000">
              <w:rPr>
                <w:rFonts w:ascii="Times New Roman" w:cs="Times New Roman" w:eastAsia="Times New Roman" w:hAnsi="Times New Roman"/>
                <w:b w:val="1"/>
                <w:bCs w:val="1"/>
                <w:sz w:val="16"/>
                <w:szCs w:val="16"/>
                <w:rtl w:val="0"/>
              </w:rPr>
              <w:t xml:space="preserve">HOJA DE VIDA: PRODUCTO DE POLÍTICA PÚBLICA</w:t>
            </w:r>
          </w:p>
        </w:tc>
      </w:tr>
      <w:tr>
        <w:trPr>
          <w:cantSplit w:val="0"/>
          <w:tblHeader w:val="0"/>
        </w:trPr>
        <w:tc>
          <w:tcPr>
            <w:gridSpan w:val="23"/>
            <w:vAlign w:val="center"/>
          </w:tcPr>
          <w:p w:rsidR="00000000" w:rsidDel="00000000" w:rsidP="00000000" w:rsidRDefault="00000000" w:rsidRPr="00000000" w14:paraId="00000066">
            <w:pPr>
              <w:jc w:val="center"/>
              <w:rPr>
                <w:rFonts w:ascii="Times New Roman" w:cs="Times New Roman" w:eastAsia="Times New Roman" w:hAnsi="Times New Roman"/>
                <w:b w:val="1"/>
                <w:bCs w:val="1"/>
                <w:sz w:val="16"/>
                <w:szCs w:val="16"/>
              </w:rPr>
            </w:pPr>
            <w:r w:rsidDel="00000000" w:rsidR="00000000" w:rsidRPr="00000000">
              <w:rPr>
                <w:rFonts w:ascii="Times New Roman" w:cs="Times New Roman" w:eastAsia="Times New Roman" w:hAnsi="Times New Roman"/>
                <w:b w:val="1"/>
                <w:bCs w:val="1"/>
                <w:sz w:val="16"/>
                <w:szCs w:val="16"/>
                <w:rtl w:val="0"/>
              </w:rPr>
              <w:t xml:space="preserve">DATOS GENERALES </w:t>
            </w:r>
          </w:p>
        </w:tc>
      </w:tr>
      <w:tr>
        <w:trPr>
          <w:cantSplit w:val="0"/>
          <w:trHeight w:val="182" w:hRule="atLeast"/>
          <w:tblHeader w:val="0"/>
        </w:trPr>
        <w:tc>
          <w:tcPr>
            <w:gridSpan w:val="3"/>
            <w:vAlign w:val="center"/>
          </w:tcPr>
          <w:p w:rsidR="00000000" w:rsidDel="00000000" w:rsidP="00000000" w:rsidRDefault="00000000" w:rsidRPr="00000000" w14:paraId="0000007D">
            <w:pPr>
              <w:jc w:val="center"/>
              <w:rPr>
                <w:rFonts w:ascii="Times New Roman" w:cs="Times New Roman" w:eastAsia="Times New Roman" w:hAnsi="Times New Roman"/>
                <w:sz w:val="16"/>
                <w:szCs w:val="16"/>
              </w:rPr>
            </w:pPr>
            <w:r w:rsidDel="00000000" w:rsidR="00000000" w:rsidRPr="00000000">
              <w:rPr>
                <w:rFonts w:ascii="Times New Roman" w:cs="Times New Roman" w:eastAsia="Times New Roman" w:hAnsi="Times New Roman"/>
                <w:sz w:val="16"/>
                <w:szCs w:val="16"/>
                <w:rtl w:val="0"/>
              </w:rPr>
              <w:t xml:space="preserve">Entidad encargada de implementación</w:t>
            </w:r>
          </w:p>
        </w:tc>
        <w:tc>
          <w:tcPr>
            <w:gridSpan w:val="16"/>
            <w:vAlign w:val="center"/>
          </w:tcPr>
          <w:p w:rsidR="00000000" w:rsidDel="00000000" w:rsidP="00000000" w:rsidRDefault="00000000" w:rsidRPr="00000000" w14:paraId="00000080">
            <w:pPr>
              <w:rPr>
                <w:rFonts w:ascii="Times New Roman" w:cs="Times New Roman" w:eastAsia="Times New Roman" w:hAnsi="Times New Roman"/>
                <w:sz w:val="16"/>
                <w:szCs w:val="16"/>
              </w:rPr>
            </w:pPr>
            <w:r w:rsidDel="00000000" w:rsidR="00000000" w:rsidRPr="00000000">
              <w:rPr>
                <w:rFonts w:ascii="Times New Roman" w:cs="Times New Roman" w:eastAsia="Times New Roman" w:hAnsi="Times New Roman"/>
                <w:sz w:val="16"/>
                <w:szCs w:val="16"/>
                <w:rtl w:val="0"/>
              </w:rPr>
              <w:t xml:space="preserve">Entidad responsable: IPCC</w:t>
            </w:r>
          </w:p>
        </w:tc>
        <w:tc>
          <w:tcPr>
            <w:gridSpan w:val="3"/>
            <w:vAlign w:val="center"/>
          </w:tcPr>
          <w:p w:rsidR="00000000" w:rsidDel="00000000" w:rsidP="00000000" w:rsidRDefault="00000000" w:rsidRPr="00000000" w14:paraId="00000090">
            <w:pPr>
              <w:jc w:val="center"/>
              <w:rPr>
                <w:rFonts w:ascii="Times New Roman" w:cs="Times New Roman" w:eastAsia="Times New Roman" w:hAnsi="Times New Roman"/>
                <w:sz w:val="16"/>
                <w:szCs w:val="16"/>
              </w:rPr>
            </w:pPr>
            <w:r w:rsidDel="00000000" w:rsidR="00000000" w:rsidRPr="00000000">
              <w:rPr>
                <w:rFonts w:ascii="Times New Roman" w:cs="Times New Roman" w:eastAsia="Times New Roman" w:hAnsi="Times New Roman"/>
                <w:sz w:val="16"/>
                <w:szCs w:val="16"/>
                <w:rtl w:val="0"/>
              </w:rPr>
              <w:t xml:space="preserve">Código de entidad</w:t>
            </w:r>
          </w:p>
        </w:tc>
        <w:tc>
          <w:tcPr>
            <w:vAlign w:val="center"/>
          </w:tcPr>
          <w:p w:rsidR="00000000" w:rsidDel="00000000" w:rsidP="00000000" w:rsidRDefault="00000000" w:rsidRPr="00000000" w14:paraId="00000093">
            <w:pPr>
              <w:jc w:val="center"/>
              <w:rPr>
                <w:rFonts w:ascii="Times New Roman" w:cs="Times New Roman" w:eastAsia="Times New Roman" w:hAnsi="Times New Roman"/>
                <w:b w:val="1"/>
                <w:bCs w:val="1"/>
                <w:sz w:val="16"/>
                <w:szCs w:val="16"/>
              </w:rPr>
            </w:pPr>
            <w:r w:rsidDel="00000000" w:rsidR="00000000" w:rsidRPr="00000000">
              <w:rPr>
                <w:rFonts w:ascii="Times New Roman" w:cs="Times New Roman" w:eastAsia="Times New Roman" w:hAnsi="Times New Roman"/>
                <w:b w:val="1"/>
                <w:bCs w:val="1"/>
                <w:sz w:val="16"/>
                <w:szCs w:val="16"/>
                <w:rtl w:val="0"/>
              </w:rPr>
              <w:t xml:space="preserve">01</w:t>
            </w:r>
          </w:p>
        </w:tc>
      </w:tr>
      <w:tr>
        <w:trPr>
          <w:cantSplit w:val="0"/>
          <w:trHeight w:val="182" w:hRule="atLeast"/>
          <w:tblHeader w:val="0"/>
        </w:trPr>
        <w:tc>
          <w:tcPr>
            <w:gridSpan w:val="3"/>
            <w:vAlign w:val="center"/>
          </w:tcPr>
          <w:p w:rsidR="00000000" w:rsidDel="00000000" w:rsidP="00000000" w:rsidRDefault="00000000" w:rsidRPr="00000000" w14:paraId="00000094">
            <w:pPr>
              <w:jc w:val="center"/>
              <w:rPr>
                <w:rFonts w:ascii="Times New Roman" w:cs="Times New Roman" w:eastAsia="Times New Roman" w:hAnsi="Times New Roman"/>
                <w:sz w:val="16"/>
                <w:szCs w:val="16"/>
              </w:rPr>
            </w:pPr>
            <w:r w:rsidDel="00000000" w:rsidR="00000000" w:rsidRPr="00000000">
              <w:rPr>
                <w:rFonts w:ascii="Times New Roman" w:cs="Times New Roman" w:eastAsia="Times New Roman" w:hAnsi="Times New Roman"/>
                <w:sz w:val="16"/>
                <w:szCs w:val="16"/>
                <w:rtl w:val="0"/>
              </w:rPr>
              <w:t xml:space="preserve">Objetivo específico asociado</w:t>
            </w:r>
          </w:p>
        </w:tc>
        <w:tc>
          <w:tcPr>
            <w:gridSpan w:val="16"/>
            <w:vAlign w:val="center"/>
          </w:tcPr>
          <w:p w:rsidR="00000000" w:rsidDel="00000000" w:rsidP="00000000" w:rsidRDefault="00000000" w:rsidRPr="00000000" w14:paraId="00000097">
            <w:pPr>
              <w:jc w:val="center"/>
              <w:rPr>
                <w:rFonts w:ascii="Times New Roman" w:cs="Times New Roman" w:eastAsia="Times New Roman" w:hAnsi="Times New Roman"/>
                <w:sz w:val="16"/>
                <w:szCs w:val="16"/>
              </w:rPr>
            </w:pPr>
            <w:r w:rsidDel="00000000" w:rsidR="00000000" w:rsidRPr="00000000">
              <w:rPr>
                <w:rFonts w:ascii="Times New Roman" w:cs="Times New Roman" w:eastAsia="Times New Roman" w:hAnsi="Times New Roman"/>
                <w:sz w:val="16"/>
                <w:szCs w:val="16"/>
                <w:rtl w:val="0"/>
              </w:rPr>
              <w:t xml:space="preserve">Implementar procesos de formación continua del capital humano de la Red Distrital de Bibliotecas Públicas, mediante alianzas, estrategias y programas orientados al fortalecimiento de sus competencias profesionales y técnicas, que se reflejen en la vocación y optimización del servicio.</w:t>
            </w:r>
          </w:p>
        </w:tc>
        <w:tc>
          <w:tcPr>
            <w:gridSpan w:val="3"/>
            <w:vAlign w:val="center"/>
          </w:tcPr>
          <w:p w:rsidR="00000000" w:rsidDel="00000000" w:rsidP="00000000" w:rsidRDefault="00000000" w:rsidRPr="00000000" w14:paraId="000000A7">
            <w:pPr>
              <w:jc w:val="center"/>
              <w:rPr>
                <w:rFonts w:ascii="Times New Roman" w:cs="Times New Roman" w:eastAsia="Times New Roman" w:hAnsi="Times New Roman"/>
                <w:sz w:val="16"/>
                <w:szCs w:val="16"/>
              </w:rPr>
            </w:pPr>
            <w:r w:rsidDel="00000000" w:rsidR="00000000" w:rsidRPr="00000000">
              <w:rPr>
                <w:rFonts w:ascii="Times New Roman" w:cs="Times New Roman" w:eastAsia="Times New Roman" w:hAnsi="Times New Roman"/>
                <w:sz w:val="16"/>
                <w:szCs w:val="16"/>
                <w:rtl w:val="0"/>
              </w:rPr>
              <w:t xml:space="preserve">Número de objetivo</w:t>
            </w:r>
          </w:p>
        </w:tc>
        <w:tc>
          <w:tcPr>
            <w:vAlign w:val="center"/>
          </w:tcPr>
          <w:p w:rsidR="00000000" w:rsidDel="00000000" w:rsidP="00000000" w:rsidRDefault="00000000" w:rsidRPr="00000000" w14:paraId="000000AA">
            <w:pPr>
              <w:jc w:val="center"/>
              <w:rPr>
                <w:rFonts w:ascii="Times New Roman" w:cs="Times New Roman" w:eastAsia="Times New Roman" w:hAnsi="Times New Roman"/>
                <w:sz w:val="16"/>
                <w:szCs w:val="16"/>
              </w:rPr>
            </w:pPr>
            <w:r w:rsidDel="00000000" w:rsidR="00000000" w:rsidRPr="00000000">
              <w:rPr>
                <w:rFonts w:ascii="Times New Roman" w:cs="Times New Roman" w:eastAsia="Times New Roman" w:hAnsi="Times New Roman"/>
                <w:sz w:val="16"/>
                <w:szCs w:val="16"/>
                <w:rtl w:val="0"/>
              </w:rPr>
              <w:t xml:space="preserve">OE. 2</w:t>
            </w:r>
          </w:p>
        </w:tc>
      </w:tr>
      <w:tr>
        <w:trPr>
          <w:cantSplit w:val="0"/>
          <w:trHeight w:val="182" w:hRule="atLeast"/>
          <w:tblHeader w:val="0"/>
        </w:trPr>
        <w:tc>
          <w:tcPr>
            <w:gridSpan w:val="3"/>
            <w:vAlign w:val="center"/>
          </w:tcPr>
          <w:p w:rsidR="00000000" w:rsidDel="00000000" w:rsidP="00000000" w:rsidRDefault="00000000" w:rsidRPr="00000000" w14:paraId="000000AB">
            <w:pPr>
              <w:jc w:val="center"/>
              <w:rPr>
                <w:rFonts w:ascii="Times New Roman" w:cs="Times New Roman" w:eastAsia="Times New Roman" w:hAnsi="Times New Roman"/>
                <w:sz w:val="16"/>
                <w:szCs w:val="16"/>
              </w:rPr>
            </w:pPr>
            <w:r w:rsidDel="00000000" w:rsidR="00000000" w:rsidRPr="00000000">
              <w:rPr>
                <w:rFonts w:ascii="Times New Roman" w:cs="Times New Roman" w:eastAsia="Times New Roman" w:hAnsi="Times New Roman"/>
                <w:sz w:val="16"/>
                <w:szCs w:val="16"/>
                <w:rtl w:val="0"/>
              </w:rPr>
              <w:t xml:space="preserve">Meta(s) de resultado a la (s) que el producto aporta mediante su implementación.</w:t>
            </w:r>
          </w:p>
        </w:tc>
        <w:tc>
          <w:tcPr>
            <w:gridSpan w:val="20"/>
            <w:vAlign w:val="center"/>
          </w:tcPr>
          <w:p w:rsidR="00000000" w:rsidDel="00000000" w:rsidP="00000000" w:rsidRDefault="00000000" w:rsidRPr="00000000" w14:paraId="000000AE">
            <w:pPr>
              <w:jc w:val="center"/>
              <w:rPr>
                <w:rFonts w:ascii="Times New Roman" w:cs="Times New Roman" w:eastAsia="Times New Roman" w:hAnsi="Times New Roman"/>
                <w:sz w:val="12"/>
                <w:szCs w:val="12"/>
              </w:rPr>
            </w:pPr>
            <w:r w:rsidDel="00000000" w:rsidR="00000000" w:rsidRPr="00000000">
              <w:rPr>
                <w:rFonts w:ascii="Times New Roman" w:cs="Times New Roman" w:eastAsia="Times New Roman" w:hAnsi="Times New Roman"/>
                <w:sz w:val="16"/>
                <w:szCs w:val="16"/>
                <w:rtl w:val="0"/>
              </w:rPr>
              <w:t xml:space="preserve">2.1. Consolidación de procesos transparentes de ingreso, permanencia y ascenso del personal con base en su experiencia y conocimiento, con esquemas de actualización permanente y manuales de procesos y procedimientos que dirijan la prestación de servicios.</w:t>
            </w:r>
            <w:r w:rsidDel="00000000" w:rsidR="00000000" w:rsidRPr="00000000">
              <w:rPr>
                <w:rtl w:val="0"/>
              </w:rPr>
            </w:r>
          </w:p>
        </w:tc>
      </w:tr>
      <w:tr>
        <w:trPr>
          <w:cantSplit w:val="0"/>
          <w:tblHeader w:val="0"/>
        </w:trPr>
        <w:tc>
          <w:tcPr>
            <w:gridSpan w:val="3"/>
            <w:vAlign w:val="center"/>
          </w:tcPr>
          <w:p w:rsidR="00000000" w:rsidDel="00000000" w:rsidP="00000000" w:rsidRDefault="00000000" w:rsidRPr="00000000" w14:paraId="000000C2">
            <w:pPr>
              <w:jc w:val="center"/>
              <w:rPr>
                <w:rFonts w:ascii="Times New Roman" w:cs="Times New Roman" w:eastAsia="Times New Roman" w:hAnsi="Times New Roman"/>
                <w:sz w:val="16"/>
                <w:szCs w:val="16"/>
              </w:rPr>
            </w:pPr>
            <w:r w:rsidDel="00000000" w:rsidR="00000000" w:rsidRPr="00000000">
              <w:rPr>
                <w:rFonts w:ascii="Times New Roman" w:cs="Times New Roman" w:eastAsia="Times New Roman" w:hAnsi="Times New Roman"/>
                <w:sz w:val="16"/>
                <w:szCs w:val="16"/>
                <w:rtl w:val="0"/>
              </w:rPr>
              <w:t xml:space="preserve">Componente - Eje</w:t>
            </w:r>
          </w:p>
        </w:tc>
        <w:tc>
          <w:tcPr>
            <w:gridSpan w:val="6"/>
            <w:vAlign w:val="center"/>
          </w:tcPr>
          <w:p w:rsidR="00000000" w:rsidDel="00000000" w:rsidP="00000000" w:rsidRDefault="00000000" w:rsidRPr="00000000" w14:paraId="000000C5">
            <w:pPr>
              <w:rPr>
                <w:rFonts w:ascii="Times New Roman" w:cs="Times New Roman" w:eastAsia="Times New Roman" w:hAnsi="Times New Roman"/>
                <w:sz w:val="16"/>
                <w:szCs w:val="16"/>
              </w:rPr>
            </w:pPr>
            <w:r w:rsidDel="00000000" w:rsidR="00000000" w:rsidRPr="00000000">
              <w:rPr>
                <w:rFonts w:ascii="Times New Roman" w:cs="Times New Roman" w:eastAsia="Times New Roman" w:hAnsi="Times New Roman"/>
                <w:sz w:val="16"/>
                <w:szCs w:val="16"/>
                <w:rtl w:val="0"/>
              </w:rPr>
              <w:t xml:space="preserve">Humano</w:t>
            </w:r>
          </w:p>
        </w:tc>
        <w:tc>
          <w:tcPr>
            <w:gridSpan w:val="3"/>
            <w:vAlign w:val="center"/>
          </w:tcPr>
          <w:p w:rsidR="00000000" w:rsidDel="00000000" w:rsidP="00000000" w:rsidRDefault="00000000" w:rsidRPr="00000000" w14:paraId="000000CB">
            <w:pPr>
              <w:rPr>
                <w:rFonts w:ascii="Times New Roman" w:cs="Times New Roman" w:eastAsia="Times New Roman" w:hAnsi="Times New Roman"/>
                <w:sz w:val="16"/>
                <w:szCs w:val="16"/>
              </w:rPr>
            </w:pPr>
            <w:r w:rsidDel="00000000" w:rsidR="00000000" w:rsidRPr="00000000">
              <w:rPr>
                <w:rFonts w:ascii="Times New Roman" w:cs="Times New Roman" w:eastAsia="Times New Roman" w:hAnsi="Times New Roman"/>
                <w:sz w:val="16"/>
                <w:szCs w:val="16"/>
                <w:rtl w:val="0"/>
              </w:rPr>
              <w:t xml:space="preserve">Línea de acción</w:t>
            </w:r>
          </w:p>
        </w:tc>
        <w:tc>
          <w:tcPr>
            <w:gridSpan w:val="11"/>
            <w:vAlign w:val="center"/>
          </w:tcPr>
          <w:p w:rsidR="00000000" w:rsidDel="00000000" w:rsidP="00000000" w:rsidRDefault="00000000" w:rsidRPr="00000000" w14:paraId="000000CE">
            <w:pPr>
              <w:rPr>
                <w:rFonts w:ascii="Times New Roman" w:cs="Times New Roman" w:eastAsia="Times New Roman" w:hAnsi="Times New Roman"/>
                <w:sz w:val="16"/>
                <w:szCs w:val="16"/>
              </w:rPr>
            </w:pPr>
            <w:r w:rsidDel="00000000" w:rsidR="00000000" w:rsidRPr="00000000">
              <w:rPr>
                <w:rFonts w:ascii="Times New Roman" w:cs="Times New Roman" w:eastAsia="Times New Roman" w:hAnsi="Times New Roman"/>
                <w:sz w:val="16"/>
                <w:szCs w:val="16"/>
                <w:rtl w:val="0"/>
              </w:rPr>
              <w:t xml:space="preserve">Rediseño institucional</w:t>
            </w:r>
          </w:p>
        </w:tc>
      </w:tr>
      <w:tr>
        <w:trPr>
          <w:cantSplit w:val="0"/>
          <w:tblHeader w:val="0"/>
        </w:trPr>
        <w:tc>
          <w:tcPr>
            <w:gridSpan w:val="3"/>
            <w:vAlign w:val="center"/>
          </w:tcPr>
          <w:p w:rsidR="00000000" w:rsidDel="00000000" w:rsidP="00000000" w:rsidRDefault="00000000" w:rsidRPr="00000000" w14:paraId="000000D9">
            <w:pPr>
              <w:jc w:val="center"/>
              <w:rPr>
                <w:rFonts w:ascii="Times New Roman" w:cs="Times New Roman" w:eastAsia="Times New Roman" w:hAnsi="Times New Roman"/>
                <w:sz w:val="16"/>
                <w:szCs w:val="16"/>
              </w:rPr>
            </w:pPr>
            <w:r w:rsidDel="00000000" w:rsidR="00000000" w:rsidRPr="00000000">
              <w:rPr>
                <w:rFonts w:ascii="Times New Roman" w:cs="Times New Roman" w:eastAsia="Times New Roman" w:hAnsi="Times New Roman"/>
                <w:sz w:val="16"/>
                <w:szCs w:val="16"/>
                <w:rtl w:val="0"/>
              </w:rPr>
              <w:t xml:space="preserve">Código de producto</w:t>
            </w:r>
          </w:p>
        </w:tc>
        <w:tc>
          <w:tcPr>
            <w:gridSpan w:val="6"/>
            <w:vAlign w:val="center"/>
          </w:tcPr>
          <w:p w:rsidR="00000000" w:rsidDel="00000000" w:rsidP="00000000" w:rsidRDefault="00000000" w:rsidRPr="00000000" w14:paraId="000000DC">
            <w:pPr>
              <w:rPr>
                <w:rFonts w:ascii="Times New Roman" w:cs="Times New Roman" w:eastAsia="Times New Roman" w:hAnsi="Times New Roman"/>
                <w:sz w:val="16"/>
                <w:szCs w:val="16"/>
              </w:rPr>
            </w:pPr>
            <w:r w:rsidDel="00000000" w:rsidR="00000000" w:rsidRPr="00000000">
              <w:rPr>
                <w:rFonts w:ascii="Times New Roman" w:cs="Times New Roman" w:eastAsia="Times New Roman" w:hAnsi="Times New Roman"/>
                <w:sz w:val="16"/>
                <w:szCs w:val="16"/>
                <w:rtl w:val="0"/>
              </w:rPr>
              <w:t xml:space="preserve">2.1.1</w:t>
            </w:r>
          </w:p>
        </w:tc>
        <w:tc>
          <w:tcPr>
            <w:gridSpan w:val="3"/>
            <w:vAlign w:val="center"/>
          </w:tcPr>
          <w:p w:rsidR="00000000" w:rsidDel="00000000" w:rsidP="00000000" w:rsidRDefault="00000000" w:rsidRPr="00000000" w14:paraId="000000E2">
            <w:pPr>
              <w:rPr>
                <w:rFonts w:ascii="Times New Roman" w:cs="Times New Roman" w:eastAsia="Times New Roman" w:hAnsi="Times New Roman"/>
                <w:sz w:val="16"/>
                <w:szCs w:val="16"/>
              </w:rPr>
            </w:pPr>
            <w:r w:rsidDel="00000000" w:rsidR="00000000" w:rsidRPr="00000000">
              <w:rPr>
                <w:rFonts w:ascii="Times New Roman" w:cs="Times New Roman" w:eastAsia="Times New Roman" w:hAnsi="Times New Roman"/>
                <w:sz w:val="16"/>
                <w:szCs w:val="16"/>
                <w:rtl w:val="0"/>
              </w:rPr>
              <w:t xml:space="preserve">Nombre del producto</w:t>
            </w:r>
          </w:p>
        </w:tc>
        <w:tc>
          <w:tcPr>
            <w:gridSpan w:val="11"/>
            <w:vAlign w:val="center"/>
          </w:tcPr>
          <w:p w:rsidR="00000000" w:rsidDel="00000000" w:rsidP="00000000" w:rsidRDefault="00000000" w:rsidRPr="00000000" w14:paraId="000000E5">
            <w:pPr>
              <w:spacing w:after="240" w:before="240" w:lineRule="auto"/>
              <w:jc w:val="both"/>
              <w:rPr>
                <w:rFonts w:ascii="Times New Roman" w:cs="Times New Roman" w:eastAsia="Times New Roman" w:hAnsi="Times New Roman"/>
                <w:sz w:val="16"/>
                <w:szCs w:val="16"/>
                <w:highlight w:val="white"/>
              </w:rPr>
            </w:pPr>
            <w:r w:rsidDel="00000000" w:rsidR="00000000" w:rsidRPr="00000000">
              <w:rPr>
                <w:rFonts w:ascii="Times New Roman" w:cs="Times New Roman" w:eastAsia="Times New Roman" w:hAnsi="Times New Roman"/>
                <w:sz w:val="16"/>
                <w:szCs w:val="16"/>
                <w:highlight w:val="white"/>
                <w:rtl w:val="0"/>
              </w:rPr>
              <w:t xml:space="preserve">Estudio diagnóstico para la reestructuración administrativa del IPCC para la gestión de las bibliotecas de la Red Distrital.</w:t>
            </w:r>
          </w:p>
        </w:tc>
      </w:tr>
      <w:tr>
        <w:trPr>
          <w:cantSplit w:val="0"/>
          <w:tblHeader w:val="0"/>
        </w:trPr>
        <w:tc>
          <w:tcPr>
            <w:gridSpan w:val="3"/>
            <w:vAlign w:val="center"/>
          </w:tcPr>
          <w:p w:rsidR="00000000" w:rsidDel="00000000" w:rsidP="00000000" w:rsidRDefault="00000000" w:rsidRPr="00000000" w14:paraId="000000F0">
            <w:pPr>
              <w:jc w:val="center"/>
              <w:rPr>
                <w:rFonts w:ascii="Times New Roman" w:cs="Times New Roman" w:eastAsia="Times New Roman" w:hAnsi="Times New Roman"/>
                <w:sz w:val="16"/>
                <w:szCs w:val="16"/>
              </w:rPr>
            </w:pPr>
            <w:r w:rsidDel="00000000" w:rsidR="00000000" w:rsidRPr="00000000">
              <w:rPr>
                <w:rFonts w:ascii="Times New Roman" w:cs="Times New Roman" w:eastAsia="Times New Roman" w:hAnsi="Times New Roman"/>
                <w:sz w:val="16"/>
                <w:szCs w:val="16"/>
                <w:rtl w:val="0"/>
              </w:rPr>
              <w:t xml:space="preserve">Población objetivo del producto</w:t>
            </w:r>
          </w:p>
        </w:tc>
        <w:tc>
          <w:tcPr>
            <w:gridSpan w:val="20"/>
            <w:vAlign w:val="center"/>
          </w:tcPr>
          <w:p w:rsidR="00000000" w:rsidDel="00000000" w:rsidP="00000000" w:rsidRDefault="00000000" w:rsidRPr="00000000" w14:paraId="000000F3">
            <w:pPr>
              <w:rPr>
                <w:rFonts w:ascii="Times New Roman" w:cs="Times New Roman" w:eastAsia="Times New Roman" w:hAnsi="Times New Roman"/>
                <w:sz w:val="16"/>
                <w:szCs w:val="16"/>
              </w:rPr>
            </w:pPr>
            <w:r w:rsidDel="00000000" w:rsidR="00000000" w:rsidRPr="00000000">
              <w:rPr>
                <w:rFonts w:ascii="Times New Roman" w:cs="Times New Roman" w:eastAsia="Times New Roman" w:hAnsi="Times New Roman"/>
                <w:sz w:val="16"/>
                <w:szCs w:val="16"/>
                <w:rtl w:val="0"/>
              </w:rPr>
              <w:t xml:space="preserve">Coordinadores, mediadores y personal usuario de la Red Distrital de Bibliotecas Públicas </w:t>
            </w:r>
          </w:p>
        </w:tc>
      </w:tr>
      <w:tr>
        <w:trPr>
          <w:cantSplit w:val="0"/>
          <w:tblHeader w:val="0"/>
        </w:trPr>
        <w:tc>
          <w:tcPr>
            <w:gridSpan w:val="3"/>
            <w:vAlign w:val="center"/>
          </w:tcPr>
          <w:p w:rsidR="00000000" w:rsidDel="00000000" w:rsidP="00000000" w:rsidRDefault="00000000" w:rsidRPr="00000000" w14:paraId="00000107">
            <w:pPr>
              <w:jc w:val="center"/>
              <w:rPr>
                <w:rFonts w:ascii="Times New Roman" w:cs="Times New Roman" w:eastAsia="Times New Roman" w:hAnsi="Times New Roman"/>
                <w:sz w:val="16"/>
                <w:szCs w:val="16"/>
              </w:rPr>
            </w:pPr>
            <w:r w:rsidDel="00000000" w:rsidR="00000000" w:rsidRPr="00000000">
              <w:rPr>
                <w:rFonts w:ascii="Times New Roman" w:cs="Times New Roman" w:eastAsia="Times New Roman" w:hAnsi="Times New Roman"/>
                <w:sz w:val="16"/>
                <w:szCs w:val="16"/>
                <w:rtl w:val="0"/>
              </w:rPr>
              <w:t xml:space="preserve">Relación con el Plan de Desarrollo Distrital -PDD</w:t>
            </w:r>
          </w:p>
        </w:tc>
        <w:tc>
          <w:tcPr>
            <w:gridSpan w:val="4"/>
            <w:vAlign w:val="center"/>
          </w:tcPr>
          <w:p w:rsidR="00000000" w:rsidDel="00000000" w:rsidP="00000000" w:rsidRDefault="00000000" w:rsidRPr="00000000" w14:paraId="0000010A">
            <w:pPr>
              <w:rPr>
                <w:rFonts w:ascii="Times New Roman" w:cs="Times New Roman" w:eastAsia="Times New Roman" w:hAnsi="Times New Roman"/>
                <w:i w:val="1"/>
                <w:iCs w:val="1"/>
                <w:sz w:val="16"/>
                <w:szCs w:val="16"/>
              </w:rPr>
            </w:pPr>
            <w:r w:rsidDel="00000000" w:rsidR="00000000" w:rsidRPr="00000000">
              <w:rPr>
                <w:rFonts w:ascii="Times New Roman" w:cs="Times New Roman" w:eastAsia="Times New Roman" w:hAnsi="Times New Roman"/>
                <w:sz w:val="16"/>
                <w:szCs w:val="16"/>
                <w:rtl w:val="0"/>
              </w:rPr>
              <w:t xml:space="preserve">NO</w:t>
            </w:r>
            <w:r w:rsidDel="00000000" w:rsidR="00000000" w:rsidRPr="00000000">
              <w:rPr>
                <w:rtl w:val="0"/>
              </w:rPr>
            </w:r>
          </w:p>
        </w:tc>
        <w:tc>
          <w:tcPr>
            <w:gridSpan w:val="2"/>
            <w:vAlign w:val="center"/>
          </w:tcPr>
          <w:p w:rsidR="00000000" w:rsidDel="00000000" w:rsidP="00000000" w:rsidRDefault="00000000" w:rsidRPr="00000000" w14:paraId="0000010E">
            <w:pPr>
              <w:rPr>
                <w:rFonts w:ascii="Times New Roman" w:cs="Times New Roman" w:eastAsia="Times New Roman" w:hAnsi="Times New Roman"/>
                <w:sz w:val="16"/>
                <w:szCs w:val="16"/>
              </w:rPr>
            </w:pPr>
            <w:r w:rsidDel="00000000" w:rsidR="00000000" w:rsidRPr="00000000">
              <w:rPr>
                <w:rFonts w:ascii="Times New Roman" w:cs="Times New Roman" w:eastAsia="Times New Roman" w:hAnsi="Times New Roman"/>
                <w:sz w:val="16"/>
                <w:szCs w:val="16"/>
                <w:rtl w:val="0"/>
              </w:rPr>
              <w:t xml:space="preserve">Pilar, Objetivo o Eje del PDD</w:t>
            </w:r>
          </w:p>
        </w:tc>
        <w:tc>
          <w:tcPr>
            <w:gridSpan w:val="6"/>
            <w:vAlign w:val="center"/>
          </w:tcPr>
          <w:p w:rsidR="00000000" w:rsidDel="00000000" w:rsidP="00000000" w:rsidRDefault="00000000" w:rsidRPr="00000000" w14:paraId="00000110">
            <w:pPr>
              <w:rPr>
                <w:rFonts w:ascii="Times New Roman" w:cs="Times New Roman" w:eastAsia="Times New Roman" w:hAnsi="Times New Roman"/>
                <w:sz w:val="16"/>
                <w:szCs w:val="16"/>
              </w:rPr>
            </w:pPr>
            <w:r w:rsidDel="00000000" w:rsidR="00000000" w:rsidRPr="00000000">
              <w:rPr>
                <w:rFonts w:ascii="Times New Roman" w:cs="Times New Roman" w:eastAsia="Times New Roman" w:hAnsi="Times New Roman"/>
                <w:sz w:val="16"/>
                <w:szCs w:val="16"/>
                <w:rtl w:val="0"/>
              </w:rPr>
              <w:t xml:space="preserve">NA </w:t>
            </w:r>
          </w:p>
        </w:tc>
        <w:tc>
          <w:tcPr>
            <w:gridSpan w:val="5"/>
            <w:vAlign w:val="center"/>
          </w:tcPr>
          <w:p w:rsidR="00000000" w:rsidDel="00000000" w:rsidP="00000000" w:rsidRDefault="00000000" w:rsidRPr="00000000" w14:paraId="00000116">
            <w:pPr>
              <w:rPr>
                <w:rFonts w:ascii="Times New Roman" w:cs="Times New Roman" w:eastAsia="Times New Roman" w:hAnsi="Times New Roman"/>
                <w:sz w:val="16"/>
                <w:szCs w:val="16"/>
              </w:rPr>
            </w:pPr>
            <w:r w:rsidDel="00000000" w:rsidR="00000000" w:rsidRPr="00000000">
              <w:rPr>
                <w:rFonts w:ascii="Times New Roman" w:cs="Times New Roman" w:eastAsia="Times New Roman" w:hAnsi="Times New Roman"/>
                <w:sz w:val="16"/>
                <w:szCs w:val="16"/>
                <w:rtl w:val="0"/>
              </w:rPr>
              <w:t xml:space="preserve">Programa del PDD</w:t>
            </w:r>
          </w:p>
        </w:tc>
        <w:tc>
          <w:tcPr>
            <w:gridSpan w:val="3"/>
            <w:vAlign w:val="center"/>
          </w:tcPr>
          <w:p w:rsidR="00000000" w:rsidDel="00000000" w:rsidP="00000000" w:rsidRDefault="00000000" w:rsidRPr="00000000" w14:paraId="0000011B">
            <w:pPr>
              <w:rPr>
                <w:rFonts w:ascii="Times New Roman" w:cs="Times New Roman" w:eastAsia="Times New Roman" w:hAnsi="Times New Roman"/>
                <w:sz w:val="16"/>
                <w:szCs w:val="16"/>
              </w:rPr>
            </w:pPr>
            <w:r w:rsidDel="00000000" w:rsidR="00000000" w:rsidRPr="00000000">
              <w:rPr>
                <w:rFonts w:ascii="Times New Roman" w:cs="Times New Roman" w:eastAsia="Times New Roman" w:hAnsi="Times New Roman"/>
                <w:sz w:val="16"/>
                <w:szCs w:val="16"/>
                <w:rtl w:val="0"/>
              </w:rPr>
              <w:t xml:space="preserve">NA</w:t>
            </w:r>
          </w:p>
        </w:tc>
      </w:tr>
      <w:tr>
        <w:trPr>
          <w:cantSplit w:val="0"/>
          <w:trHeight w:val="150" w:hRule="atLeast"/>
          <w:tblHeader w:val="0"/>
        </w:trPr>
        <w:tc>
          <w:tcPr>
            <w:gridSpan w:val="23"/>
            <w:vAlign w:val="center"/>
          </w:tcPr>
          <w:p w:rsidR="00000000" w:rsidDel="00000000" w:rsidP="00000000" w:rsidRDefault="00000000" w:rsidRPr="00000000" w14:paraId="0000011E">
            <w:pPr>
              <w:rPr>
                <w:rFonts w:ascii="Times New Roman" w:cs="Times New Roman" w:eastAsia="Times New Roman" w:hAnsi="Times New Roman"/>
                <w:b w:val="1"/>
                <w:bCs w:val="1"/>
                <w:sz w:val="16"/>
                <w:szCs w:val="16"/>
              </w:rPr>
            </w:pPr>
            <w:r w:rsidDel="00000000" w:rsidR="00000000" w:rsidRPr="00000000">
              <w:rPr>
                <w:rtl w:val="0"/>
              </w:rPr>
            </w:r>
          </w:p>
        </w:tc>
      </w:tr>
      <w:tr>
        <w:trPr>
          <w:cantSplit w:val="0"/>
          <w:trHeight w:val="150" w:hRule="atLeast"/>
          <w:tblHeader w:val="0"/>
        </w:trPr>
        <w:tc>
          <w:tcPr>
            <w:gridSpan w:val="23"/>
            <w:vAlign w:val="center"/>
          </w:tcPr>
          <w:p w:rsidR="00000000" w:rsidDel="00000000" w:rsidP="00000000" w:rsidRDefault="00000000" w:rsidRPr="00000000" w14:paraId="00000135">
            <w:pPr>
              <w:jc w:val="center"/>
              <w:rPr>
                <w:rFonts w:ascii="Times New Roman" w:cs="Times New Roman" w:eastAsia="Times New Roman" w:hAnsi="Times New Roman"/>
                <w:b w:val="1"/>
                <w:bCs w:val="1"/>
                <w:sz w:val="16"/>
                <w:szCs w:val="16"/>
              </w:rPr>
            </w:pPr>
            <w:r w:rsidDel="00000000" w:rsidR="00000000" w:rsidRPr="00000000">
              <w:rPr>
                <w:rFonts w:ascii="Times New Roman" w:cs="Times New Roman" w:eastAsia="Times New Roman" w:hAnsi="Times New Roman"/>
                <w:b w:val="1"/>
                <w:bCs w:val="1"/>
                <w:sz w:val="16"/>
                <w:szCs w:val="16"/>
                <w:rtl w:val="0"/>
              </w:rPr>
              <w:t xml:space="preserve">INFORMACIÓN DEL PRODUCTO</w:t>
            </w:r>
          </w:p>
        </w:tc>
      </w:tr>
      <w:tr>
        <w:trPr>
          <w:cantSplit w:val="0"/>
          <w:trHeight w:val="73" w:hRule="atLeast"/>
          <w:tblHeader w:val="0"/>
        </w:trPr>
        <w:tc>
          <w:tcPr>
            <w:gridSpan w:val="4"/>
            <w:vAlign w:val="center"/>
          </w:tcPr>
          <w:p w:rsidR="00000000" w:rsidDel="00000000" w:rsidP="00000000" w:rsidRDefault="00000000" w:rsidRPr="00000000" w14:paraId="0000014C">
            <w:pPr>
              <w:jc w:val="center"/>
              <w:rPr>
                <w:rFonts w:ascii="Times New Roman" w:cs="Times New Roman" w:eastAsia="Times New Roman" w:hAnsi="Times New Roman"/>
                <w:sz w:val="16"/>
                <w:szCs w:val="16"/>
              </w:rPr>
            </w:pPr>
            <w:r w:rsidDel="00000000" w:rsidR="00000000" w:rsidRPr="00000000">
              <w:rPr>
                <w:rFonts w:ascii="Times New Roman" w:cs="Times New Roman" w:eastAsia="Times New Roman" w:hAnsi="Times New Roman"/>
                <w:sz w:val="16"/>
                <w:szCs w:val="16"/>
                <w:rtl w:val="0"/>
              </w:rPr>
              <w:t xml:space="preserve">Descripción</w:t>
            </w:r>
          </w:p>
        </w:tc>
        <w:tc>
          <w:tcPr>
            <w:gridSpan w:val="19"/>
            <w:vAlign w:val="center"/>
          </w:tcPr>
          <w:p w:rsidR="00000000" w:rsidDel="00000000" w:rsidP="00000000" w:rsidRDefault="00000000" w:rsidRPr="00000000" w14:paraId="00000150">
            <w:pPr>
              <w:pBdr>
                <w:top w:space="0" w:sz="0" w:val="nil"/>
                <w:left w:space="0" w:sz="0" w:val="nil"/>
                <w:bottom w:space="0" w:sz="0" w:val="nil"/>
                <w:right w:space="0" w:sz="0" w:val="nil"/>
                <w:between w:space="0" w:sz="0" w:val="nil"/>
              </w:pBdr>
              <w:jc w:val="both"/>
              <w:rPr>
                <w:rFonts w:ascii="Times New Roman" w:cs="Times New Roman" w:eastAsia="Times New Roman" w:hAnsi="Times New Roman"/>
                <w:sz w:val="16"/>
                <w:szCs w:val="16"/>
              </w:rPr>
            </w:pPr>
            <w:r w:rsidDel="00000000" w:rsidR="00000000" w:rsidRPr="00000000">
              <w:rPr>
                <w:rFonts w:ascii="Times New Roman" w:cs="Times New Roman" w:eastAsia="Times New Roman" w:hAnsi="Times New Roman"/>
                <w:b w:val="1"/>
                <w:bCs w:val="1"/>
                <w:sz w:val="16"/>
                <w:szCs w:val="16"/>
                <w:rtl w:val="0"/>
              </w:rPr>
              <w:t xml:space="preserve">Justificación de la competencia: </w:t>
            </w:r>
            <w:r w:rsidDel="00000000" w:rsidR="00000000" w:rsidRPr="00000000">
              <w:rPr>
                <w:rFonts w:ascii="Times New Roman" w:cs="Times New Roman" w:eastAsia="Times New Roman" w:hAnsi="Times New Roman"/>
                <w:sz w:val="16"/>
                <w:szCs w:val="16"/>
                <w:rtl w:val="0"/>
              </w:rPr>
              <w:t xml:space="preserve">Desde IPCC y los espacios se reconoce al grupo de personas que desde sus profesiones, funciones y habilidades particulares aportan al desarrollo de las agendas de las bibliotecas y la importancia de la aptitud de estos. En esa medida, sobre ellas recaen los procesos a corto, mediano y largo plazo que son importantes para que la biblioteca alcance sus logros y pueda obtener el impacto esperado en las comunidades y sus miembros. La inexistencia formal del cargo de bibliotecólogo y la falta de certificación de experiencia debido a contratos de Prestación de Servicios ya sea de apoyo a la gestión o servicios profesionales</w:t>
            </w:r>
            <w:r w:rsidDel="00000000" w:rsidR="00000000" w:rsidRPr="00000000">
              <w:rPr>
                <w:rFonts w:ascii="Times New Roman" w:cs="Times New Roman" w:eastAsia="Times New Roman" w:hAnsi="Times New Roman"/>
                <w:sz w:val="16"/>
                <w:szCs w:val="16"/>
                <w:rtl w:val="0"/>
              </w:rPr>
              <w:t xml:space="preserve">, indican </w:t>
            </w:r>
            <w:r w:rsidDel="00000000" w:rsidR="00000000" w:rsidRPr="00000000">
              <w:rPr>
                <w:rFonts w:ascii="Times New Roman" w:cs="Times New Roman" w:eastAsia="Times New Roman" w:hAnsi="Times New Roman"/>
                <w:sz w:val="16"/>
                <w:szCs w:val="16"/>
                <w:rtl w:val="0"/>
              </w:rPr>
              <w:t xml:space="preserve">deficiencias en la estructura organizativa y en la gestión de recursos humanos. El IPCC debe asumir la responsabilidad de contratar más capital humano en las bibliotecas debido a su enfoque central en la promoción de la cultura y la educación. Al ser una entidad local, el Instituto posee un conocimiento específico de las necesidades de la comunidad y puede coordinar eficazmente los recursos culturales y educativos del distrito. Esto asegura que la contratación de personal para las bibliotecas esté alineada con los objetivos culturales y educativos establecidos por la ley distrital. </w:t>
            </w:r>
          </w:p>
          <w:p w:rsidR="00000000" w:rsidDel="00000000" w:rsidP="00000000" w:rsidRDefault="00000000" w:rsidRPr="00000000" w14:paraId="00000151">
            <w:pPr>
              <w:pBdr>
                <w:top w:space="0" w:sz="0" w:val="nil"/>
                <w:left w:space="0" w:sz="0" w:val="nil"/>
                <w:bottom w:space="0" w:sz="0" w:val="nil"/>
                <w:right w:space="0" w:sz="0" w:val="nil"/>
                <w:between w:space="0" w:sz="0" w:val="nil"/>
              </w:pBdr>
              <w:jc w:val="both"/>
              <w:rPr>
                <w:rFonts w:ascii="Times New Roman" w:cs="Times New Roman" w:eastAsia="Times New Roman" w:hAnsi="Times New Roman"/>
                <w:sz w:val="16"/>
                <w:szCs w:val="16"/>
              </w:rPr>
            </w:pPr>
            <w:r w:rsidDel="00000000" w:rsidR="00000000" w:rsidRPr="00000000">
              <w:rPr>
                <w:rtl w:val="0"/>
              </w:rPr>
            </w:r>
          </w:p>
          <w:p w:rsidR="00000000" w:rsidDel="00000000" w:rsidP="00000000" w:rsidRDefault="00000000" w:rsidRPr="00000000" w14:paraId="00000152">
            <w:pPr>
              <w:pBdr>
                <w:top w:space="0" w:sz="0" w:val="nil"/>
                <w:left w:space="0" w:sz="0" w:val="nil"/>
                <w:bottom w:space="0" w:sz="0" w:val="nil"/>
                <w:right w:space="0" w:sz="0" w:val="nil"/>
                <w:between w:space="0" w:sz="0" w:val="nil"/>
              </w:pBdr>
              <w:jc w:val="both"/>
              <w:rPr>
                <w:rFonts w:ascii="Times New Roman" w:cs="Times New Roman" w:eastAsia="Times New Roman" w:hAnsi="Times New Roman"/>
                <w:sz w:val="16"/>
                <w:szCs w:val="16"/>
              </w:rPr>
            </w:pPr>
            <w:r w:rsidDel="00000000" w:rsidR="00000000" w:rsidRPr="00000000">
              <w:rPr>
                <w:rFonts w:ascii="Times New Roman" w:cs="Times New Roman" w:eastAsia="Times New Roman" w:hAnsi="Times New Roman"/>
                <w:sz w:val="16"/>
                <w:szCs w:val="16"/>
                <w:rtl w:val="0"/>
              </w:rPr>
              <w:t xml:space="preserve">De conformidad con la disposición normativa, la entidad encargada de gestionar la política pública cultural de Cartagena y garantizar su eficaz cumplimiento y aplicación es el Instituto de Patrimonio y Cultura – IPCC, en virtud del Acuerdo Distrital 001 de 2003 El IPCC debe promover la participación de la ciudadanía en los escenarios culturales, garantizar -por medio de la asignación de recursos y el acompañamiento necesarios- la creación y promoción de actividades artísticas y culturales en el distrito, ejecutar planes de acción que aporten a la infraestructura cultural de la ciudad, de manera que se generen oportunidades de desarrollo tanto del sector propiamente, como de los agentes. Asimismo, debe proveer recursos o presupuesto para la realización de eventos, la creación de programas y la oferta de bienes y servicios acordes con las voluntades y necesidades del sector y sus miembros. De igual manera, debe concertar, formular y ejecutar documentos en pro del mejoramiento y fortalecimiento del sector, y promover la creación, el fomento y el fortalecimiento de las bibliotecas públicas y de los servicios complementarios que a través de ellas se prestan. </w:t>
            </w:r>
          </w:p>
          <w:p w:rsidR="00000000" w:rsidDel="00000000" w:rsidP="00000000" w:rsidRDefault="00000000" w:rsidRPr="00000000" w14:paraId="00000153">
            <w:pPr>
              <w:pBdr>
                <w:top w:space="0" w:sz="0" w:val="nil"/>
                <w:left w:space="0" w:sz="0" w:val="nil"/>
                <w:bottom w:space="0" w:sz="0" w:val="nil"/>
                <w:right w:space="0" w:sz="0" w:val="nil"/>
                <w:between w:space="0" w:sz="0" w:val="nil"/>
              </w:pBdr>
              <w:ind w:left="720" w:firstLine="0"/>
              <w:jc w:val="both"/>
              <w:rPr>
                <w:rFonts w:ascii="Times New Roman" w:cs="Times New Roman" w:eastAsia="Times New Roman" w:hAnsi="Times New Roman"/>
                <w:sz w:val="16"/>
                <w:szCs w:val="16"/>
              </w:rPr>
            </w:pPr>
            <w:r w:rsidDel="00000000" w:rsidR="00000000" w:rsidRPr="00000000">
              <w:rPr>
                <w:rtl w:val="0"/>
              </w:rPr>
            </w:r>
          </w:p>
          <w:p w:rsidR="00000000" w:rsidDel="00000000" w:rsidP="00000000" w:rsidRDefault="00000000" w:rsidRPr="00000000" w14:paraId="00000154">
            <w:pPr>
              <w:pBdr>
                <w:top w:space="0" w:sz="0" w:val="nil"/>
                <w:left w:space="0" w:sz="0" w:val="nil"/>
                <w:bottom w:space="0" w:sz="0" w:val="nil"/>
                <w:right w:space="0" w:sz="0" w:val="nil"/>
                <w:between w:space="0" w:sz="0" w:val="nil"/>
              </w:pBdr>
              <w:jc w:val="both"/>
              <w:rPr>
                <w:rFonts w:ascii="Times New Roman" w:cs="Times New Roman" w:eastAsia="Times New Roman" w:hAnsi="Times New Roman"/>
                <w:sz w:val="16"/>
                <w:szCs w:val="16"/>
              </w:rPr>
            </w:pPr>
            <w:r w:rsidDel="00000000" w:rsidR="00000000" w:rsidRPr="00000000">
              <w:rPr>
                <w:rFonts w:ascii="Times New Roman" w:cs="Times New Roman" w:eastAsia="Times New Roman" w:hAnsi="Times New Roman"/>
                <w:b w:val="1"/>
                <w:bCs w:val="1"/>
                <w:sz w:val="16"/>
                <w:szCs w:val="16"/>
                <w:rtl w:val="0"/>
              </w:rPr>
              <w:t xml:space="preserve">Descripción de la relación causal del problema</w:t>
            </w:r>
            <w:r w:rsidDel="00000000" w:rsidR="00000000" w:rsidRPr="00000000">
              <w:rPr>
                <w:rFonts w:ascii="Times New Roman" w:cs="Times New Roman" w:eastAsia="Times New Roman" w:hAnsi="Times New Roman"/>
                <w:sz w:val="16"/>
                <w:szCs w:val="16"/>
                <w:rtl w:val="0"/>
              </w:rPr>
              <w:t xml:space="preserve">:Este producto está relacionado con el (PC4) “Poco reconocimiento del desarrollo profesional de los coordinadores y auxiliares de la Red de Bibliotecas y nombramientos sin tener en cuenta la experiencia y conocimientos del personal”</w:t>
            </w:r>
            <w:r w:rsidDel="00000000" w:rsidR="00000000" w:rsidRPr="00000000">
              <w:rPr>
                <w:rFonts w:ascii="Times New Roman" w:cs="Times New Roman" w:eastAsia="Times New Roman" w:hAnsi="Times New Roman"/>
                <w:b w:val="1"/>
                <w:bCs w:val="1"/>
                <w:sz w:val="16"/>
                <w:szCs w:val="16"/>
                <w:rtl w:val="0"/>
              </w:rPr>
              <w:t xml:space="preserve"> </w:t>
            </w:r>
            <w:r w:rsidDel="00000000" w:rsidR="00000000" w:rsidRPr="00000000">
              <w:rPr>
                <w:rFonts w:ascii="Times New Roman" w:cs="Times New Roman" w:eastAsia="Times New Roman" w:hAnsi="Times New Roman"/>
                <w:sz w:val="16"/>
                <w:szCs w:val="16"/>
                <w:rtl w:val="0"/>
              </w:rPr>
              <w:t xml:space="preserve">ya que,</w:t>
            </w:r>
            <w:r w:rsidDel="00000000" w:rsidR="00000000" w:rsidRPr="00000000">
              <w:rPr>
                <w:rFonts w:ascii="Times New Roman" w:cs="Times New Roman" w:eastAsia="Times New Roman" w:hAnsi="Times New Roman"/>
                <w:b w:val="1"/>
                <w:bCs w:val="1"/>
                <w:sz w:val="16"/>
                <w:szCs w:val="16"/>
                <w:rtl w:val="0"/>
              </w:rPr>
              <w:t xml:space="preserve"> </w:t>
            </w:r>
            <w:r w:rsidDel="00000000" w:rsidR="00000000" w:rsidRPr="00000000">
              <w:rPr>
                <w:rFonts w:ascii="Times New Roman" w:cs="Times New Roman" w:eastAsia="Times New Roman" w:hAnsi="Times New Roman"/>
                <w:sz w:val="16"/>
                <w:szCs w:val="16"/>
                <w:rtl w:val="0"/>
              </w:rPr>
              <w:t xml:space="preserve">la problemática mencionada refleja las necesidades reales de las bibliotecas, que lleva a consecuencias como la inestabilidad laboral, la falta de herramientas esenciales para el funcionamiento diario de las bibliotecas y la disminución en la participación de la comunidad en actividades culturales. La falta de personal en las bibliotecas públicas de Cartagena para gestionar actividades culturales, promover la lectura y la escritura se debe, en parte, a restricciones financieras. Los recursos asignados a estas instituciones podrían ser insuficientes para contratar al personal necesario. Además, en entornos con recursos limitados, la competencia por fondos podría llevar a que otras necesidades sean priorizadas sobre las actividades culturales y de promoción de la lectura. La falta de reconocimiento de la importancia cultural y educativa de estas actividades también contribuye al problema. Si las autoridades locales no valoran adecuadamente la contribución de las bibliotecas a la educación y enriquecimiento cultural de la comunidad, es probable que asignen recursos insuficientes para el personal dedicado a estas áreas. Las decisiones administrativas y políticas a nivel local también pueden influir. Si las políticas no respaldan activamente la gestión cultural y la promoción de la lectura, es probable que haya una falta de prioridad en la asignación de personal y recursos para estas actividades. Igualmente, las necesidades de capacitación y desarrollo del personal existente pueden ser un factor. Si no se proporciona la capacitación adecuada para realizar eficazmente tareas de gestión cultural y promoción de la lectura, esto puede contribuir a la escasez de personal competente en estas áreas. La reestructuración administrativa del IPCC para la gestión de las bibliotecas de la red distrital destaca la importancia crucial de la contratación de personal como un componente clave. El estudio diagnóstico pone especial énfasis en evaluar no solo la cantidad, sino también la calidad y la idoneidad del personal existente en las bibliotecas. Se busca identificar las competencias necesarias para adaptarse a las cambiantes necesidades de la comunidad y las nuevas tecnologías. La reestructuración se orienta hacia una vinculación estratégica, considerando perfiles especializados, habilidades digitales y capacidades de interacción comunitaria. Además, se enfoca en desarrollar procesos de contratación eficientes y transparentes que aseguren la incorporación de profesionales comprometidos y alineados con la misión de las bibliotecas. La contratación de personal, en este contexto, se convierte en un aspecto esencial para fortalecer las capacidades operativas y mejorar la calidad de los servicios bibliotecarios. </w:t>
            </w:r>
            <w:r w:rsidDel="00000000" w:rsidR="00000000" w:rsidRPr="00000000">
              <w:rPr>
                <w:rtl w:val="0"/>
              </w:rPr>
            </w:r>
          </w:p>
          <w:p w:rsidR="00000000" w:rsidDel="00000000" w:rsidP="00000000" w:rsidRDefault="00000000" w:rsidRPr="00000000" w14:paraId="00000155">
            <w:pPr>
              <w:pBdr>
                <w:top w:space="0" w:sz="0" w:val="nil"/>
                <w:left w:space="0" w:sz="0" w:val="nil"/>
                <w:bottom w:space="0" w:sz="0" w:val="nil"/>
                <w:right w:space="0" w:sz="0" w:val="nil"/>
                <w:between w:space="0" w:sz="0" w:val="nil"/>
              </w:pBdr>
              <w:ind w:left="720" w:firstLine="0"/>
              <w:jc w:val="both"/>
              <w:rPr>
                <w:rFonts w:ascii="Times New Roman" w:cs="Times New Roman" w:eastAsia="Times New Roman" w:hAnsi="Times New Roman"/>
                <w:sz w:val="16"/>
                <w:szCs w:val="16"/>
              </w:rPr>
            </w:pPr>
            <w:r w:rsidDel="00000000" w:rsidR="00000000" w:rsidRPr="00000000">
              <w:rPr>
                <w:rtl w:val="0"/>
              </w:rPr>
            </w:r>
          </w:p>
          <w:p w:rsidR="00000000" w:rsidDel="00000000" w:rsidP="00000000" w:rsidRDefault="00000000" w:rsidRPr="00000000" w14:paraId="00000156">
            <w:pPr>
              <w:pBdr>
                <w:top w:space="0" w:sz="0" w:val="nil"/>
                <w:left w:space="0" w:sz="0" w:val="nil"/>
                <w:bottom w:space="0" w:sz="0" w:val="nil"/>
                <w:right w:space="0" w:sz="0" w:val="nil"/>
                <w:between w:space="0" w:sz="0" w:val="nil"/>
              </w:pBdr>
              <w:jc w:val="both"/>
              <w:rPr>
                <w:rFonts w:ascii="Times New Roman" w:cs="Times New Roman" w:eastAsia="Times New Roman" w:hAnsi="Times New Roman"/>
                <w:sz w:val="16"/>
                <w:szCs w:val="16"/>
              </w:rPr>
            </w:pPr>
            <w:r w:rsidDel="00000000" w:rsidR="00000000" w:rsidRPr="00000000">
              <w:rPr>
                <w:rFonts w:ascii="Times New Roman" w:cs="Times New Roman" w:eastAsia="Times New Roman" w:hAnsi="Times New Roman"/>
                <w:b w:val="1"/>
                <w:bCs w:val="1"/>
                <w:sz w:val="16"/>
                <w:szCs w:val="16"/>
                <w:rtl w:val="0"/>
              </w:rPr>
              <w:t xml:space="preserve">Importancia comunitaria del punto crítico: </w:t>
            </w:r>
            <w:r w:rsidDel="00000000" w:rsidR="00000000" w:rsidRPr="00000000">
              <w:rPr>
                <w:rFonts w:ascii="Times New Roman" w:cs="Times New Roman" w:eastAsia="Times New Roman" w:hAnsi="Times New Roman"/>
                <w:sz w:val="16"/>
                <w:szCs w:val="16"/>
                <w:rtl w:val="0"/>
              </w:rPr>
              <w:t xml:space="preserve">Se busca un reconocimiento eficiente del desarrollo profesional de los coordinadores y auxiliares de biblioteca, asegurando que los nombramientos se realicen teniendo en cuenta la experiencia y los conocimientos del personal y en mejorar la divulgación de las convocatorias con el objetivo de fortalecer el proceso de ingreso, permanencia y ascenso en la carrera administrativa. Este estudio de reestructuración administrativa del IPCC para la gestión de las bibliotecas de la red distrital es de vital importancia para la comunidad por varias razones fundamentales. En primer lugar, la evaluación exhaustiva del capital humano y la vinculación estratégica buscan garantizar que las bibliotecas cuenten con un personal competente y comprometido, capaz de satisfacer las necesidades cambiantes de la comunidad y aprovechar las tecnologías emergentes. Además, la reestructuración tiene como objetivo mejorar la eficiencia operativa, lo que se traduce en servicios bibliotecarios más efectivos y accesibles para todos los miembros de la comunidad. La contratación de personal especializado y la creación de procesos eficientes contribuyen a la optimización de recursos y la mejora continua del servicio que se presta en las bibliotecas. </w:t>
            </w:r>
            <w:r w:rsidDel="00000000" w:rsidR="00000000" w:rsidRPr="00000000">
              <w:rPr>
                <w:rFonts w:ascii="Times New Roman" w:cs="Times New Roman" w:eastAsia="Times New Roman" w:hAnsi="Times New Roman"/>
                <w:sz w:val="16"/>
                <w:szCs w:val="16"/>
                <w:rtl w:val="0"/>
              </w:rPr>
              <w:t xml:space="preserve">Situación que fue manifestada de manera recurrente por parte los asistentes a las Mesas de Concertación y Validación, donde, al priorizar factores estratégicos, se le valoró el (PC4) con una puntuación de 4,6 en la escala de Likert (1 es “nada relevante” y 5 “muy relevante”).</w:t>
            </w:r>
          </w:p>
          <w:p w:rsidR="00000000" w:rsidDel="00000000" w:rsidP="00000000" w:rsidRDefault="00000000" w:rsidRPr="00000000" w14:paraId="00000157">
            <w:pPr>
              <w:pBdr>
                <w:top w:space="0" w:sz="0" w:val="nil"/>
                <w:left w:space="0" w:sz="0" w:val="nil"/>
                <w:bottom w:space="0" w:sz="0" w:val="nil"/>
                <w:right w:space="0" w:sz="0" w:val="nil"/>
                <w:between w:space="0" w:sz="0" w:val="nil"/>
              </w:pBdr>
              <w:ind w:left="720" w:firstLine="0"/>
              <w:jc w:val="both"/>
              <w:rPr>
                <w:rFonts w:ascii="Times New Roman" w:cs="Times New Roman" w:eastAsia="Times New Roman" w:hAnsi="Times New Roman"/>
                <w:sz w:val="16"/>
                <w:szCs w:val="16"/>
              </w:rPr>
            </w:pPr>
            <w:r w:rsidDel="00000000" w:rsidR="00000000" w:rsidRPr="00000000">
              <w:rPr>
                <w:rtl w:val="0"/>
              </w:rPr>
            </w:r>
          </w:p>
          <w:p w:rsidR="00000000" w:rsidDel="00000000" w:rsidP="00000000" w:rsidRDefault="00000000" w:rsidRPr="00000000" w14:paraId="00000158">
            <w:pPr>
              <w:pBdr>
                <w:top w:space="0" w:sz="0" w:val="nil"/>
                <w:left w:space="0" w:sz="0" w:val="nil"/>
                <w:bottom w:space="0" w:sz="0" w:val="nil"/>
                <w:right w:space="0" w:sz="0" w:val="nil"/>
                <w:between w:space="0" w:sz="0" w:val="nil"/>
              </w:pBdr>
              <w:jc w:val="both"/>
              <w:rPr>
                <w:rFonts w:ascii="Times New Roman" w:cs="Times New Roman" w:eastAsia="Times New Roman" w:hAnsi="Times New Roman"/>
                <w:sz w:val="16"/>
                <w:szCs w:val="16"/>
              </w:rPr>
            </w:pPr>
            <w:r w:rsidDel="00000000" w:rsidR="00000000" w:rsidRPr="00000000">
              <w:rPr>
                <w:rFonts w:ascii="Times New Roman" w:cs="Times New Roman" w:eastAsia="Times New Roman" w:hAnsi="Times New Roman"/>
                <w:b w:val="1"/>
                <w:bCs w:val="1"/>
                <w:sz w:val="16"/>
                <w:szCs w:val="16"/>
                <w:rtl w:val="0"/>
              </w:rPr>
              <w:t xml:space="preserve">Elección del número de vigencias proyectadas para la implementación de producto</w:t>
            </w:r>
            <w:r w:rsidDel="00000000" w:rsidR="00000000" w:rsidRPr="00000000">
              <w:rPr>
                <w:rFonts w:ascii="Times New Roman" w:cs="Times New Roman" w:eastAsia="Times New Roman" w:hAnsi="Times New Roman"/>
                <w:b w:val="1"/>
                <w:bCs w:val="1"/>
                <w:sz w:val="16"/>
                <w:szCs w:val="16"/>
                <w:rtl w:val="0"/>
              </w:rPr>
              <w:t xml:space="preserve">:</w:t>
            </w:r>
            <w:r w:rsidDel="00000000" w:rsidR="00000000" w:rsidRPr="00000000">
              <w:rPr>
                <w:rFonts w:ascii="Times New Roman" w:cs="Times New Roman" w:eastAsia="Times New Roman" w:hAnsi="Times New Roman"/>
                <w:sz w:val="16"/>
                <w:szCs w:val="16"/>
                <w:rtl w:val="0"/>
              </w:rPr>
              <w:t xml:space="preserve"> La elección del segundo año de vigencia (2027) para la realización del estudio diagnóstico sobre la reestructuración administrativa del IPCC se fundamenta en la necesidad de contar con una base técnica sólida que oriente la implementación efectiva del Plan Distrital. Al ser la reestructuración un componente clave para garantizar la adecuada gestión de la Red Distrital de Bibliotecas, su elaboración en el segundo año permite que, una vez finalizado el diagnóstico, este se integre oportunamente en los procesos organizacionales y administrativos que se desarrollarán en los años posteriores, es decir,convierte en un insumo estratégico para optimizar las operaciones bibliotecarias, mejorar la calidad del servicio y fortalecer las capacidades institucionales, asegurando que la Red Distrital cuente con una estructura organizativa adecuada para responder a las demandas del Plan Distrital durante el resto de su vigencia.</w:t>
            </w:r>
            <w:r w:rsidDel="00000000" w:rsidR="00000000" w:rsidRPr="00000000">
              <w:rPr>
                <w:rtl w:val="0"/>
              </w:rPr>
            </w:r>
          </w:p>
        </w:tc>
      </w:tr>
      <w:tr>
        <w:trPr>
          <w:cantSplit w:val="0"/>
          <w:trHeight w:val="73" w:hRule="atLeast"/>
          <w:tblHeader w:val="0"/>
        </w:trPr>
        <w:tc>
          <w:tcPr>
            <w:gridSpan w:val="6"/>
            <w:vAlign w:val="center"/>
          </w:tcPr>
          <w:p w:rsidR="00000000" w:rsidDel="00000000" w:rsidP="00000000" w:rsidRDefault="00000000" w:rsidRPr="00000000" w14:paraId="0000016B">
            <w:pPr>
              <w:jc w:val="center"/>
              <w:rPr>
                <w:rFonts w:ascii="Times New Roman" w:cs="Times New Roman" w:eastAsia="Times New Roman" w:hAnsi="Times New Roman"/>
                <w:sz w:val="16"/>
                <w:szCs w:val="16"/>
              </w:rPr>
            </w:pPr>
            <w:r w:rsidDel="00000000" w:rsidR="00000000" w:rsidRPr="00000000">
              <w:rPr>
                <w:rFonts w:ascii="Times New Roman" w:cs="Times New Roman" w:eastAsia="Times New Roman" w:hAnsi="Times New Roman"/>
                <w:sz w:val="16"/>
                <w:szCs w:val="16"/>
                <w:rtl w:val="0"/>
              </w:rPr>
              <w:t xml:space="preserve">Indicador del producto</w:t>
            </w:r>
          </w:p>
        </w:tc>
        <w:tc>
          <w:tcPr>
            <w:gridSpan w:val="17"/>
            <w:vAlign w:val="center"/>
          </w:tcPr>
          <w:p w:rsidR="00000000" w:rsidDel="00000000" w:rsidP="00000000" w:rsidRDefault="00000000" w:rsidRPr="00000000" w14:paraId="00000171">
            <w:pPr>
              <w:rPr>
                <w:rFonts w:ascii="Times New Roman" w:cs="Times New Roman" w:eastAsia="Times New Roman" w:hAnsi="Times New Roman"/>
                <w:sz w:val="16"/>
                <w:szCs w:val="16"/>
              </w:rPr>
            </w:pPr>
            <w:r w:rsidDel="00000000" w:rsidR="00000000" w:rsidRPr="00000000">
              <w:rPr>
                <w:rFonts w:ascii="Times New Roman" w:cs="Times New Roman" w:eastAsia="Times New Roman" w:hAnsi="Times New Roman"/>
                <w:sz w:val="16"/>
                <w:szCs w:val="16"/>
                <w:rtl w:val="0"/>
              </w:rPr>
              <w:t xml:space="preserve">Número de estudios diagnósticos para la reestructuración administrativa del IPCC para la gestión de las bibliotecas de la Red Distrital realizados.</w:t>
            </w:r>
          </w:p>
        </w:tc>
      </w:tr>
      <w:tr>
        <w:trPr>
          <w:cantSplit w:val="0"/>
          <w:trHeight w:val="73" w:hRule="atLeast"/>
          <w:tblHeader w:val="0"/>
        </w:trPr>
        <w:tc>
          <w:tcPr>
            <w:gridSpan w:val="6"/>
            <w:vAlign w:val="center"/>
          </w:tcPr>
          <w:p w:rsidR="00000000" w:rsidDel="00000000" w:rsidP="00000000" w:rsidRDefault="00000000" w:rsidRPr="00000000" w14:paraId="00000182">
            <w:pPr>
              <w:rPr>
                <w:rFonts w:ascii="Times New Roman" w:cs="Times New Roman" w:eastAsia="Times New Roman" w:hAnsi="Times New Roman"/>
                <w:sz w:val="16"/>
                <w:szCs w:val="16"/>
              </w:rPr>
            </w:pPr>
            <w:r w:rsidDel="00000000" w:rsidR="00000000" w:rsidRPr="00000000">
              <w:rPr>
                <w:rFonts w:ascii="Times New Roman" w:cs="Times New Roman" w:eastAsia="Times New Roman" w:hAnsi="Times New Roman"/>
                <w:sz w:val="16"/>
                <w:szCs w:val="16"/>
                <w:rtl w:val="0"/>
              </w:rPr>
              <w:t xml:space="preserve">Fórmula de cálculo de los indicadores del producto</w:t>
            </w:r>
          </w:p>
        </w:tc>
        <w:tc>
          <w:tcPr>
            <w:gridSpan w:val="17"/>
            <w:vAlign w:val="center"/>
          </w:tcPr>
          <w:p w:rsidR="00000000" w:rsidDel="00000000" w:rsidP="00000000" w:rsidRDefault="00000000" w:rsidRPr="00000000" w14:paraId="00000188">
            <w:pPr>
              <w:rPr>
                <w:rFonts w:ascii="Times New Roman" w:cs="Times New Roman" w:eastAsia="Times New Roman" w:hAnsi="Times New Roman"/>
                <w:b w:val="1"/>
                <w:bCs w:val="1"/>
                <w:sz w:val="16"/>
                <w:szCs w:val="16"/>
              </w:rPr>
            </w:pPr>
            <w:r w:rsidDel="00000000" w:rsidR="00000000" w:rsidRPr="00000000">
              <w:rPr>
                <w:rFonts w:ascii="Times New Roman" w:cs="Times New Roman" w:eastAsia="Times New Roman" w:hAnsi="Times New Roman"/>
                <w:sz w:val="16"/>
                <w:szCs w:val="16"/>
                <w:rtl w:val="0"/>
              </w:rPr>
              <w:t xml:space="preserve">Sumatoria de estudios diagnósticos para la reestructuración administrativa del IPCC para la gestión de las bibliotecas de la Red Distrital realizados.</w:t>
            </w:r>
            <w:r w:rsidDel="00000000" w:rsidR="00000000" w:rsidRPr="00000000">
              <w:rPr>
                <w:rtl w:val="0"/>
              </w:rPr>
            </w:r>
          </w:p>
        </w:tc>
      </w:tr>
      <w:tr>
        <w:trPr>
          <w:cantSplit w:val="0"/>
          <w:trHeight w:val="73" w:hRule="atLeast"/>
          <w:tblHeader w:val="0"/>
        </w:trPr>
        <w:tc>
          <w:tcPr>
            <w:gridSpan w:val="6"/>
            <w:vAlign w:val="center"/>
          </w:tcPr>
          <w:p w:rsidR="00000000" w:rsidDel="00000000" w:rsidP="00000000" w:rsidRDefault="00000000" w:rsidRPr="00000000" w14:paraId="00000199">
            <w:pPr>
              <w:jc w:val="center"/>
              <w:rPr>
                <w:rFonts w:ascii="Times New Roman" w:cs="Times New Roman" w:eastAsia="Times New Roman" w:hAnsi="Times New Roman"/>
                <w:sz w:val="16"/>
                <w:szCs w:val="16"/>
              </w:rPr>
            </w:pPr>
            <w:r w:rsidDel="00000000" w:rsidR="00000000" w:rsidRPr="00000000">
              <w:rPr>
                <w:rFonts w:ascii="Times New Roman" w:cs="Times New Roman" w:eastAsia="Times New Roman" w:hAnsi="Times New Roman"/>
                <w:sz w:val="16"/>
                <w:szCs w:val="16"/>
                <w:rtl w:val="0"/>
              </w:rPr>
              <w:t xml:space="preserve">Línea base del producto</w:t>
            </w:r>
          </w:p>
        </w:tc>
        <w:tc>
          <w:tcPr>
            <w:gridSpan w:val="7"/>
            <w:vAlign w:val="center"/>
          </w:tcPr>
          <w:p w:rsidR="00000000" w:rsidDel="00000000" w:rsidP="00000000" w:rsidRDefault="00000000" w:rsidRPr="00000000" w14:paraId="0000019F">
            <w:pPr>
              <w:jc w:val="center"/>
              <w:rPr>
                <w:rFonts w:ascii="Times New Roman" w:cs="Times New Roman" w:eastAsia="Times New Roman" w:hAnsi="Times New Roman"/>
                <w:b w:val="1"/>
                <w:bCs w:val="1"/>
                <w:sz w:val="16"/>
                <w:szCs w:val="16"/>
              </w:rPr>
            </w:pPr>
            <w:r w:rsidDel="00000000" w:rsidR="00000000" w:rsidRPr="00000000">
              <w:rPr>
                <w:rFonts w:ascii="Times New Roman" w:cs="Times New Roman" w:eastAsia="Times New Roman" w:hAnsi="Times New Roman"/>
                <w:sz w:val="16"/>
                <w:szCs w:val="16"/>
                <w:rtl w:val="0"/>
              </w:rPr>
              <w:t xml:space="preserve">0</w:t>
            </w:r>
            <w:r w:rsidDel="00000000" w:rsidR="00000000" w:rsidRPr="00000000">
              <w:rPr>
                <w:rtl w:val="0"/>
              </w:rPr>
            </w:r>
          </w:p>
        </w:tc>
        <w:tc>
          <w:tcPr>
            <w:gridSpan w:val="4"/>
            <w:vAlign w:val="center"/>
          </w:tcPr>
          <w:p w:rsidR="00000000" w:rsidDel="00000000" w:rsidP="00000000" w:rsidRDefault="00000000" w:rsidRPr="00000000" w14:paraId="000001A6">
            <w:pPr>
              <w:jc w:val="center"/>
              <w:rPr>
                <w:rFonts w:ascii="Times New Roman" w:cs="Times New Roman" w:eastAsia="Times New Roman" w:hAnsi="Times New Roman"/>
                <w:sz w:val="16"/>
                <w:szCs w:val="16"/>
              </w:rPr>
            </w:pPr>
            <w:r w:rsidDel="00000000" w:rsidR="00000000" w:rsidRPr="00000000">
              <w:rPr>
                <w:rFonts w:ascii="Times New Roman" w:cs="Times New Roman" w:eastAsia="Times New Roman" w:hAnsi="Times New Roman"/>
                <w:sz w:val="16"/>
                <w:szCs w:val="16"/>
                <w:rtl w:val="0"/>
              </w:rPr>
              <w:t xml:space="preserve">Fecha de la LB</w:t>
            </w:r>
          </w:p>
        </w:tc>
        <w:tc>
          <w:tcPr>
            <w:gridSpan w:val="3"/>
            <w:vAlign w:val="center"/>
          </w:tcPr>
          <w:p w:rsidR="00000000" w:rsidDel="00000000" w:rsidP="00000000" w:rsidRDefault="00000000" w:rsidRPr="00000000" w14:paraId="000001AA">
            <w:pPr>
              <w:jc w:val="center"/>
              <w:rPr>
                <w:rFonts w:ascii="Times New Roman" w:cs="Times New Roman" w:eastAsia="Times New Roman" w:hAnsi="Times New Roman"/>
                <w:sz w:val="16"/>
                <w:szCs w:val="16"/>
              </w:rPr>
            </w:pPr>
            <w:r w:rsidDel="00000000" w:rsidR="00000000" w:rsidRPr="00000000">
              <w:rPr>
                <w:rFonts w:ascii="Times New Roman" w:cs="Times New Roman" w:eastAsia="Times New Roman" w:hAnsi="Times New Roman"/>
                <w:sz w:val="16"/>
                <w:szCs w:val="16"/>
                <w:rtl w:val="0"/>
              </w:rPr>
              <w:t xml:space="preserve">2023</w:t>
            </w:r>
          </w:p>
        </w:tc>
        <w:tc>
          <w:tcPr>
            <w:vAlign w:val="center"/>
          </w:tcPr>
          <w:p w:rsidR="00000000" w:rsidDel="00000000" w:rsidP="00000000" w:rsidRDefault="00000000" w:rsidRPr="00000000" w14:paraId="000001AD">
            <w:pPr>
              <w:jc w:val="center"/>
              <w:rPr>
                <w:rFonts w:ascii="Times New Roman" w:cs="Times New Roman" w:eastAsia="Times New Roman" w:hAnsi="Times New Roman"/>
                <w:sz w:val="16"/>
                <w:szCs w:val="16"/>
              </w:rPr>
            </w:pPr>
            <w:r w:rsidDel="00000000" w:rsidR="00000000" w:rsidRPr="00000000">
              <w:rPr>
                <w:rFonts w:ascii="Times New Roman" w:cs="Times New Roman" w:eastAsia="Times New Roman" w:hAnsi="Times New Roman"/>
                <w:sz w:val="16"/>
                <w:szCs w:val="16"/>
                <w:rtl w:val="0"/>
              </w:rPr>
              <w:t xml:space="preserve">Fuente de la LB </w:t>
            </w:r>
          </w:p>
        </w:tc>
        <w:tc>
          <w:tcPr>
            <w:gridSpan w:val="2"/>
            <w:vAlign w:val="center"/>
          </w:tcPr>
          <w:p w:rsidR="00000000" w:rsidDel="00000000" w:rsidP="00000000" w:rsidRDefault="00000000" w:rsidRPr="00000000" w14:paraId="000001AE">
            <w:pPr>
              <w:jc w:val="center"/>
              <w:rPr>
                <w:rFonts w:ascii="Times New Roman" w:cs="Times New Roman" w:eastAsia="Times New Roman" w:hAnsi="Times New Roman"/>
                <w:sz w:val="16"/>
                <w:szCs w:val="16"/>
              </w:rPr>
            </w:pPr>
            <w:r w:rsidDel="00000000" w:rsidR="00000000" w:rsidRPr="00000000">
              <w:rPr>
                <w:rFonts w:ascii="Times New Roman" w:cs="Times New Roman" w:eastAsia="Times New Roman" w:hAnsi="Times New Roman"/>
                <w:sz w:val="16"/>
                <w:szCs w:val="16"/>
                <w:rtl w:val="0"/>
              </w:rPr>
              <w:t xml:space="preserve">IPCC</w:t>
            </w:r>
          </w:p>
        </w:tc>
      </w:tr>
      <w:tr>
        <w:trPr>
          <w:cantSplit w:val="0"/>
          <w:trHeight w:val="506" w:hRule="atLeast"/>
          <w:tblHeader w:val="0"/>
        </w:trPr>
        <w:tc>
          <w:tcPr>
            <w:gridSpan w:val="6"/>
            <w:vAlign w:val="center"/>
          </w:tcPr>
          <w:p w:rsidR="00000000" w:rsidDel="00000000" w:rsidP="00000000" w:rsidRDefault="00000000" w:rsidRPr="00000000" w14:paraId="000001B0">
            <w:pPr>
              <w:jc w:val="center"/>
              <w:rPr>
                <w:rFonts w:ascii="Times New Roman" w:cs="Times New Roman" w:eastAsia="Times New Roman" w:hAnsi="Times New Roman"/>
                <w:sz w:val="16"/>
                <w:szCs w:val="16"/>
              </w:rPr>
            </w:pPr>
            <w:r w:rsidDel="00000000" w:rsidR="00000000" w:rsidRPr="00000000">
              <w:rPr>
                <w:rFonts w:ascii="Times New Roman" w:cs="Times New Roman" w:eastAsia="Times New Roman" w:hAnsi="Times New Roman"/>
                <w:sz w:val="16"/>
                <w:szCs w:val="16"/>
                <w:rtl w:val="0"/>
              </w:rPr>
              <w:t xml:space="preserve">Producto esperado (meta total)</w:t>
            </w:r>
          </w:p>
        </w:tc>
        <w:tc>
          <w:tcPr>
            <w:gridSpan w:val="17"/>
            <w:vAlign w:val="center"/>
          </w:tcPr>
          <w:p w:rsidR="00000000" w:rsidDel="00000000" w:rsidP="00000000" w:rsidRDefault="00000000" w:rsidRPr="00000000" w14:paraId="000001B6">
            <w:pPr>
              <w:rPr>
                <w:rFonts w:ascii="Times New Roman" w:cs="Times New Roman" w:eastAsia="Times New Roman" w:hAnsi="Times New Roman"/>
                <w:sz w:val="16"/>
                <w:szCs w:val="16"/>
              </w:rPr>
            </w:pPr>
            <w:r w:rsidDel="00000000" w:rsidR="00000000" w:rsidRPr="00000000">
              <w:rPr>
                <w:rFonts w:ascii="Times New Roman" w:cs="Times New Roman" w:eastAsia="Times New Roman" w:hAnsi="Times New Roman"/>
                <w:b w:val="1"/>
                <w:bCs w:val="1"/>
                <w:sz w:val="16"/>
                <w:szCs w:val="16"/>
                <w:rtl w:val="0"/>
              </w:rPr>
              <w:t xml:space="preserve">Meta total: </w:t>
            </w:r>
            <w:r w:rsidDel="00000000" w:rsidR="00000000" w:rsidRPr="00000000">
              <w:rPr>
                <w:rFonts w:ascii="Times New Roman" w:cs="Times New Roman" w:eastAsia="Times New Roman" w:hAnsi="Times New Roman"/>
                <w:sz w:val="16"/>
                <w:szCs w:val="16"/>
                <w:rtl w:val="0"/>
              </w:rPr>
              <w:t xml:space="preserve">1 estudio diagnóstico para la reestructuración administrativa del IPCC para la gestión de las bibliotecas de la Red Distrital realizados. En</w:t>
            </w:r>
            <w:r w:rsidDel="00000000" w:rsidR="00000000" w:rsidRPr="00000000">
              <w:rPr>
                <w:rFonts w:ascii="Times New Roman" w:cs="Times New Roman" w:eastAsia="Times New Roman" w:hAnsi="Times New Roman"/>
                <w:b w:val="1"/>
                <w:bCs w:val="1"/>
                <w:sz w:val="16"/>
                <w:szCs w:val="16"/>
                <w:rtl w:val="0"/>
              </w:rPr>
              <w:t xml:space="preserve"> </w:t>
            </w:r>
            <w:r w:rsidDel="00000000" w:rsidR="00000000" w:rsidRPr="00000000">
              <w:rPr>
                <w:rFonts w:ascii="Times New Roman" w:cs="Times New Roman" w:eastAsia="Times New Roman" w:hAnsi="Times New Roman"/>
                <w:sz w:val="16"/>
                <w:szCs w:val="16"/>
                <w:rtl w:val="0"/>
              </w:rPr>
              <w:t xml:space="preserve">el segundo año de implementación del plan distrital se realizar</w:t>
            </w:r>
            <w:r w:rsidDel="00000000" w:rsidR="00000000" w:rsidRPr="00000000">
              <w:rPr>
                <w:rFonts w:ascii="Times New Roman" w:cs="Times New Roman" w:eastAsia="Times New Roman" w:hAnsi="Times New Roman"/>
                <w:b w:val="1"/>
                <w:bCs w:val="1"/>
                <w:sz w:val="16"/>
                <w:szCs w:val="16"/>
                <w:rtl w:val="0"/>
              </w:rPr>
              <w:t xml:space="preserve">á e</w:t>
            </w:r>
            <w:r w:rsidDel="00000000" w:rsidR="00000000" w:rsidRPr="00000000">
              <w:rPr>
                <w:rFonts w:ascii="Times New Roman" w:cs="Times New Roman" w:eastAsia="Times New Roman" w:hAnsi="Times New Roman"/>
                <w:sz w:val="16"/>
                <w:szCs w:val="16"/>
                <w:rtl w:val="0"/>
              </w:rPr>
              <w:t xml:space="preserve">l estudio diagnóstico que estará a disposición de la Red Distrital de Bibliotecas para que sea incluido como parte de su gestión organizacional y/o administrativa. </w:t>
            </w:r>
          </w:p>
        </w:tc>
      </w:tr>
      <w:tr>
        <w:trPr>
          <w:cantSplit w:val="0"/>
          <w:trHeight w:val="73" w:hRule="atLeast"/>
          <w:tblHeader w:val="0"/>
        </w:trPr>
        <w:tc>
          <w:tcPr>
            <w:gridSpan w:val="6"/>
            <w:vAlign w:val="center"/>
          </w:tcPr>
          <w:p w:rsidR="00000000" w:rsidDel="00000000" w:rsidP="00000000" w:rsidRDefault="00000000" w:rsidRPr="00000000" w14:paraId="000001C7">
            <w:pPr>
              <w:jc w:val="center"/>
              <w:rPr>
                <w:rFonts w:ascii="Times New Roman" w:cs="Times New Roman" w:eastAsia="Times New Roman" w:hAnsi="Times New Roman"/>
                <w:b w:val="1"/>
                <w:bCs w:val="1"/>
                <w:sz w:val="16"/>
                <w:szCs w:val="16"/>
              </w:rPr>
            </w:pPr>
            <w:r w:rsidDel="00000000" w:rsidR="00000000" w:rsidRPr="00000000">
              <w:rPr>
                <w:rFonts w:ascii="Times New Roman" w:cs="Times New Roman" w:eastAsia="Times New Roman" w:hAnsi="Times New Roman"/>
                <w:sz w:val="16"/>
                <w:szCs w:val="16"/>
                <w:rtl w:val="0"/>
              </w:rPr>
              <w:t xml:space="preserve">Vigencias de implementación proyectadas</w:t>
            </w:r>
            <w:r w:rsidDel="00000000" w:rsidR="00000000" w:rsidRPr="00000000">
              <w:rPr>
                <w:rtl w:val="0"/>
              </w:rPr>
            </w:r>
          </w:p>
        </w:tc>
        <w:tc>
          <w:tcPr>
            <w:gridSpan w:val="5"/>
            <w:vAlign w:val="center"/>
          </w:tcPr>
          <w:p w:rsidR="00000000" w:rsidDel="00000000" w:rsidP="00000000" w:rsidRDefault="00000000" w:rsidRPr="00000000" w14:paraId="000001CD">
            <w:pPr>
              <w:jc w:val="center"/>
              <w:rPr>
                <w:rFonts w:ascii="Times New Roman" w:cs="Times New Roman" w:eastAsia="Times New Roman" w:hAnsi="Times New Roman"/>
                <w:b w:val="1"/>
                <w:bCs w:val="1"/>
                <w:sz w:val="16"/>
                <w:szCs w:val="16"/>
              </w:rPr>
            </w:pPr>
            <w:r w:rsidDel="00000000" w:rsidR="00000000" w:rsidRPr="00000000">
              <w:rPr>
                <w:rFonts w:ascii="Times New Roman" w:cs="Times New Roman" w:eastAsia="Times New Roman" w:hAnsi="Times New Roman"/>
                <w:i w:val="1"/>
                <w:iCs w:val="1"/>
                <w:sz w:val="16"/>
                <w:szCs w:val="16"/>
                <w:rtl w:val="0"/>
              </w:rPr>
              <w:t xml:space="preserve">2027</w:t>
            </w:r>
            <w:r w:rsidDel="00000000" w:rsidR="00000000" w:rsidRPr="00000000">
              <w:rPr>
                <w:rtl w:val="0"/>
              </w:rPr>
            </w:r>
          </w:p>
        </w:tc>
        <w:tc>
          <w:tcPr>
            <w:vAlign w:val="center"/>
          </w:tcPr>
          <w:p w:rsidR="00000000" w:rsidDel="00000000" w:rsidP="00000000" w:rsidRDefault="00000000" w:rsidRPr="00000000" w14:paraId="000001D2">
            <w:pPr>
              <w:jc w:val="center"/>
              <w:rPr>
                <w:rFonts w:ascii="Times New Roman" w:cs="Times New Roman" w:eastAsia="Times New Roman" w:hAnsi="Times New Roman"/>
                <w:sz w:val="16"/>
                <w:szCs w:val="16"/>
              </w:rPr>
            </w:pPr>
            <w:r w:rsidDel="00000000" w:rsidR="00000000" w:rsidRPr="00000000">
              <w:rPr>
                <w:rFonts w:ascii="Times New Roman" w:cs="Times New Roman" w:eastAsia="Times New Roman" w:hAnsi="Times New Roman"/>
                <w:sz w:val="16"/>
                <w:szCs w:val="16"/>
                <w:rtl w:val="0"/>
              </w:rPr>
              <w:t xml:space="preserve">Códigos de vigencias</w:t>
            </w:r>
          </w:p>
        </w:tc>
        <w:tc>
          <w:tcPr>
            <w:gridSpan w:val="11"/>
            <w:vAlign w:val="center"/>
          </w:tcPr>
          <w:p w:rsidR="00000000" w:rsidDel="00000000" w:rsidP="00000000" w:rsidRDefault="00000000" w:rsidRPr="00000000" w14:paraId="000001D3">
            <w:pPr>
              <w:jc w:val="center"/>
              <w:rPr>
                <w:rFonts w:ascii="Times New Roman" w:cs="Times New Roman" w:eastAsia="Times New Roman" w:hAnsi="Times New Roman"/>
                <w:b w:val="1"/>
                <w:bCs w:val="1"/>
                <w:sz w:val="16"/>
                <w:szCs w:val="16"/>
              </w:rPr>
            </w:pPr>
            <w:r w:rsidDel="00000000" w:rsidR="00000000" w:rsidRPr="00000000">
              <w:rPr>
                <w:rFonts w:ascii="Times New Roman" w:cs="Times New Roman" w:eastAsia="Times New Roman" w:hAnsi="Times New Roman"/>
                <w:i w:val="1"/>
                <w:iCs w:val="1"/>
                <w:sz w:val="16"/>
                <w:szCs w:val="16"/>
                <w:rtl w:val="0"/>
              </w:rPr>
              <w:t xml:space="preserve">2</w:t>
            </w:r>
            <w:r w:rsidDel="00000000" w:rsidR="00000000" w:rsidRPr="00000000">
              <w:rPr>
                <w:rtl w:val="0"/>
              </w:rPr>
            </w:r>
          </w:p>
        </w:tc>
      </w:tr>
      <w:tr>
        <w:trPr>
          <w:cantSplit w:val="0"/>
          <w:trHeight w:val="73" w:hRule="atLeast"/>
          <w:tblHeader w:val="0"/>
        </w:trPr>
        <w:tc>
          <w:tcPr>
            <w:gridSpan w:val="6"/>
            <w:vAlign w:val="center"/>
          </w:tcPr>
          <w:p w:rsidR="00000000" w:rsidDel="00000000" w:rsidP="00000000" w:rsidRDefault="00000000" w:rsidRPr="00000000" w14:paraId="000001DE">
            <w:pPr>
              <w:jc w:val="center"/>
              <w:rPr>
                <w:rFonts w:ascii="Times New Roman" w:cs="Times New Roman" w:eastAsia="Times New Roman" w:hAnsi="Times New Roman"/>
                <w:sz w:val="16"/>
                <w:szCs w:val="16"/>
              </w:rPr>
            </w:pPr>
            <w:r w:rsidDel="00000000" w:rsidR="00000000" w:rsidRPr="00000000">
              <w:rPr>
                <w:rFonts w:ascii="Times New Roman" w:cs="Times New Roman" w:eastAsia="Times New Roman" w:hAnsi="Times New Roman"/>
                <w:sz w:val="16"/>
                <w:szCs w:val="16"/>
                <w:rtl w:val="0"/>
              </w:rPr>
              <w:t xml:space="preserve">Metas por vigencia </w:t>
            </w:r>
          </w:p>
        </w:tc>
        <w:tc>
          <w:tcPr>
            <w:gridSpan w:val="17"/>
            <w:vAlign w:val="center"/>
          </w:tcPr>
          <w:p w:rsidR="00000000" w:rsidDel="00000000" w:rsidP="00000000" w:rsidRDefault="00000000" w:rsidRPr="00000000" w14:paraId="000001E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16"/>
                <w:szCs w:val="16"/>
              </w:rPr>
            </w:pPr>
            <w:r w:rsidDel="00000000" w:rsidR="00000000" w:rsidRPr="00000000">
              <w:rPr>
                <w:rtl w:val="0"/>
              </w:rPr>
            </w:r>
          </w:p>
          <w:tbl>
            <w:tblPr>
              <w:tblStyle w:val="Table2"/>
              <w:tblW w:w="8233.999999999998" w:type="dxa"/>
              <w:jc w:val="left"/>
              <w:tblLayout w:type="fixed"/>
              <w:tblLook w:val="0400"/>
            </w:tblPr>
            <w:tblGrid>
              <w:gridCol w:w="749"/>
              <w:gridCol w:w="750"/>
              <w:gridCol w:w="750"/>
              <w:gridCol w:w="750"/>
              <w:gridCol w:w="749"/>
              <w:gridCol w:w="749"/>
              <w:gridCol w:w="749"/>
              <w:gridCol w:w="749"/>
              <w:gridCol w:w="749"/>
              <w:gridCol w:w="749"/>
              <w:gridCol w:w="741"/>
              <w:tblGridChange w:id="0">
                <w:tblGrid>
                  <w:gridCol w:w="749"/>
                  <w:gridCol w:w="750"/>
                  <w:gridCol w:w="750"/>
                  <w:gridCol w:w="750"/>
                  <w:gridCol w:w="749"/>
                  <w:gridCol w:w="749"/>
                  <w:gridCol w:w="749"/>
                  <w:gridCol w:w="749"/>
                  <w:gridCol w:w="749"/>
                  <w:gridCol w:w="749"/>
                  <w:gridCol w:w="741"/>
                </w:tblGrid>
              </w:tblGridChange>
            </w:tblGrid>
            <w:tr>
              <w:trPr>
                <w:cantSplit w:val="0"/>
                <w:trHeight w:val="315" w:hRule="atLeast"/>
                <w:tblHeader w:val="0"/>
              </w:trPr>
              <w:tc>
                <w:tcPr>
                  <w:tcBorders>
                    <w:top w:color="000000" w:space="0" w:sz="0" w:val="nil"/>
                    <w:left w:color="000000" w:space="0" w:sz="0" w:val="nil"/>
                    <w:bottom w:color="000000" w:space="0" w:sz="0" w:val="nil"/>
                    <w:right w:color="000000" w:space="0" w:sz="0" w:val="nil"/>
                  </w:tcBorders>
                  <w:shd w:fill="ffffff" w:val="clear"/>
                  <w:vAlign w:val="center"/>
                </w:tcPr>
                <w:p w:rsidR="00000000" w:rsidDel="00000000" w:rsidP="00000000" w:rsidRDefault="00000000" w:rsidRPr="00000000" w14:paraId="000001E5">
                  <w:pPr>
                    <w:rPr>
                      <w:rFonts w:ascii="Times New Roman" w:cs="Times New Roman" w:eastAsia="Times New Roman" w:hAnsi="Times New Roman"/>
                      <w:sz w:val="16"/>
                      <w:szCs w:val="16"/>
                    </w:rPr>
                  </w:pPr>
                  <w:r w:rsidDel="00000000" w:rsidR="00000000" w:rsidRPr="00000000">
                    <w:rPr>
                      <w:rFonts w:ascii="Times New Roman" w:cs="Times New Roman" w:eastAsia="Times New Roman" w:hAnsi="Times New Roman"/>
                      <w:sz w:val="16"/>
                      <w:szCs w:val="16"/>
                      <w:rtl w:val="0"/>
                    </w:rPr>
                    <w:t xml:space="preserve"> </w:t>
                  </w:r>
                </w:p>
              </w:tc>
              <w:tc>
                <w:tcPr>
                  <w:tcBorders>
                    <w:top w:color="000000" w:space="0" w:sz="0" w:val="nil"/>
                    <w:left w:color="000000" w:space="0" w:sz="0" w:val="nil"/>
                    <w:bottom w:color="000000" w:space="0" w:sz="0" w:val="nil"/>
                    <w:right w:color="000000" w:space="0" w:sz="0" w:val="nil"/>
                  </w:tcBorders>
                  <w:shd w:fill="ffffff" w:val="clear"/>
                  <w:vAlign w:val="center"/>
                </w:tcPr>
                <w:p w:rsidR="00000000" w:rsidDel="00000000" w:rsidP="00000000" w:rsidRDefault="00000000" w:rsidRPr="00000000" w14:paraId="000001E6">
                  <w:pPr>
                    <w:rPr>
                      <w:rFonts w:ascii="Times New Roman" w:cs="Times New Roman" w:eastAsia="Times New Roman" w:hAnsi="Times New Roman"/>
                      <w:sz w:val="16"/>
                      <w:szCs w:val="16"/>
                    </w:rPr>
                  </w:pPr>
                  <w:r w:rsidDel="00000000" w:rsidR="00000000" w:rsidRPr="00000000">
                    <w:rPr>
                      <w:rFonts w:ascii="Times New Roman" w:cs="Times New Roman" w:eastAsia="Times New Roman" w:hAnsi="Times New Roman"/>
                      <w:sz w:val="16"/>
                      <w:szCs w:val="16"/>
                      <w:rtl w:val="0"/>
                    </w:rPr>
                    <w:t xml:space="preserve"> </w:t>
                  </w:r>
                </w:p>
              </w:tc>
              <w:tc>
                <w:tcPr>
                  <w:tcBorders>
                    <w:top w:color="000000" w:space="0" w:sz="0" w:val="nil"/>
                    <w:left w:color="000000" w:space="0" w:sz="0" w:val="nil"/>
                    <w:bottom w:color="000000" w:space="0" w:sz="0" w:val="nil"/>
                    <w:right w:color="000000" w:space="0" w:sz="0" w:val="nil"/>
                  </w:tcBorders>
                  <w:shd w:fill="ffffff" w:val="clear"/>
                  <w:vAlign w:val="center"/>
                </w:tcPr>
                <w:p w:rsidR="00000000" w:rsidDel="00000000" w:rsidP="00000000" w:rsidRDefault="00000000" w:rsidRPr="00000000" w14:paraId="000001E7">
                  <w:pPr>
                    <w:rPr>
                      <w:rFonts w:ascii="Times New Roman" w:cs="Times New Roman" w:eastAsia="Times New Roman" w:hAnsi="Times New Roman"/>
                      <w:color w:val="ff0000"/>
                      <w:sz w:val="16"/>
                      <w:szCs w:val="16"/>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fffff" w:val="clear"/>
                  <w:vAlign w:val="center"/>
                </w:tcPr>
                <w:p w:rsidR="00000000" w:rsidDel="00000000" w:rsidP="00000000" w:rsidRDefault="00000000" w:rsidRPr="00000000" w14:paraId="000001E8">
                  <w:pPr>
                    <w:rPr>
                      <w:rFonts w:ascii="Times New Roman" w:cs="Times New Roman" w:eastAsia="Times New Roman" w:hAnsi="Times New Roman"/>
                      <w:sz w:val="16"/>
                      <w:szCs w:val="16"/>
                    </w:rPr>
                  </w:pPr>
                  <w:r w:rsidDel="00000000" w:rsidR="00000000" w:rsidRPr="00000000">
                    <w:rPr>
                      <w:rFonts w:ascii="Times New Roman" w:cs="Times New Roman" w:eastAsia="Times New Roman" w:hAnsi="Times New Roman"/>
                      <w:sz w:val="16"/>
                      <w:szCs w:val="16"/>
                      <w:rtl w:val="0"/>
                    </w:rPr>
                    <w:t xml:space="preserve"> </w:t>
                  </w:r>
                </w:p>
              </w:tc>
              <w:tc>
                <w:tcPr>
                  <w:tcBorders>
                    <w:top w:color="000000" w:space="0" w:sz="0" w:val="nil"/>
                    <w:left w:color="000000" w:space="0" w:sz="0" w:val="nil"/>
                    <w:bottom w:color="000000" w:space="0" w:sz="0" w:val="nil"/>
                    <w:right w:color="000000" w:space="0" w:sz="0" w:val="nil"/>
                  </w:tcBorders>
                  <w:shd w:fill="ffffff" w:val="clear"/>
                  <w:vAlign w:val="center"/>
                </w:tcPr>
                <w:p w:rsidR="00000000" w:rsidDel="00000000" w:rsidP="00000000" w:rsidRDefault="00000000" w:rsidRPr="00000000" w14:paraId="000001E9">
                  <w:pPr>
                    <w:rPr>
                      <w:rFonts w:ascii="Times New Roman" w:cs="Times New Roman" w:eastAsia="Times New Roman" w:hAnsi="Times New Roman"/>
                      <w:sz w:val="16"/>
                      <w:szCs w:val="16"/>
                    </w:rPr>
                  </w:pPr>
                  <w:r w:rsidDel="00000000" w:rsidR="00000000" w:rsidRPr="00000000">
                    <w:rPr>
                      <w:rFonts w:ascii="Times New Roman" w:cs="Times New Roman" w:eastAsia="Times New Roman" w:hAnsi="Times New Roman"/>
                      <w:sz w:val="16"/>
                      <w:szCs w:val="16"/>
                      <w:rtl w:val="0"/>
                    </w:rPr>
                    <w:t xml:space="preserve"> </w:t>
                  </w:r>
                </w:p>
              </w:tc>
              <w:tc>
                <w:tcPr>
                  <w:tcBorders>
                    <w:top w:color="000000" w:space="0" w:sz="0" w:val="nil"/>
                    <w:left w:color="000000" w:space="0" w:sz="0" w:val="nil"/>
                    <w:bottom w:color="000000" w:space="0" w:sz="0" w:val="nil"/>
                    <w:right w:color="000000" w:space="0" w:sz="0" w:val="nil"/>
                  </w:tcBorders>
                  <w:shd w:fill="ffffff" w:val="clear"/>
                  <w:vAlign w:val="center"/>
                </w:tcPr>
                <w:p w:rsidR="00000000" w:rsidDel="00000000" w:rsidP="00000000" w:rsidRDefault="00000000" w:rsidRPr="00000000" w14:paraId="000001EA">
                  <w:pPr>
                    <w:rPr>
                      <w:rFonts w:ascii="Times New Roman" w:cs="Times New Roman" w:eastAsia="Times New Roman" w:hAnsi="Times New Roman"/>
                      <w:sz w:val="16"/>
                      <w:szCs w:val="16"/>
                    </w:rPr>
                  </w:pPr>
                  <w:r w:rsidDel="00000000" w:rsidR="00000000" w:rsidRPr="00000000">
                    <w:rPr>
                      <w:rFonts w:ascii="Times New Roman" w:cs="Times New Roman" w:eastAsia="Times New Roman" w:hAnsi="Times New Roman"/>
                      <w:sz w:val="16"/>
                      <w:szCs w:val="16"/>
                      <w:rtl w:val="0"/>
                    </w:rPr>
                    <w:t xml:space="preserve"> </w:t>
                  </w:r>
                </w:p>
              </w:tc>
              <w:tc>
                <w:tcPr>
                  <w:tcBorders>
                    <w:top w:color="000000" w:space="0" w:sz="0" w:val="nil"/>
                    <w:left w:color="000000" w:space="0" w:sz="0" w:val="nil"/>
                    <w:bottom w:color="000000" w:space="0" w:sz="0" w:val="nil"/>
                    <w:right w:color="000000" w:space="0" w:sz="0" w:val="nil"/>
                  </w:tcBorders>
                  <w:shd w:fill="ffffff" w:val="clear"/>
                  <w:vAlign w:val="center"/>
                </w:tcPr>
                <w:p w:rsidR="00000000" w:rsidDel="00000000" w:rsidP="00000000" w:rsidRDefault="00000000" w:rsidRPr="00000000" w14:paraId="000001EB">
                  <w:pPr>
                    <w:rPr>
                      <w:rFonts w:ascii="Times New Roman" w:cs="Times New Roman" w:eastAsia="Times New Roman" w:hAnsi="Times New Roman"/>
                      <w:sz w:val="16"/>
                      <w:szCs w:val="16"/>
                    </w:rPr>
                  </w:pPr>
                  <w:r w:rsidDel="00000000" w:rsidR="00000000" w:rsidRPr="00000000">
                    <w:rPr>
                      <w:rFonts w:ascii="Times New Roman" w:cs="Times New Roman" w:eastAsia="Times New Roman" w:hAnsi="Times New Roman"/>
                      <w:sz w:val="16"/>
                      <w:szCs w:val="16"/>
                      <w:rtl w:val="0"/>
                    </w:rPr>
                    <w:t xml:space="preserve"> </w:t>
                  </w:r>
                </w:p>
              </w:tc>
              <w:tc>
                <w:tcPr>
                  <w:tcBorders>
                    <w:top w:color="000000" w:space="0" w:sz="0" w:val="nil"/>
                    <w:left w:color="000000" w:space="0" w:sz="0" w:val="nil"/>
                    <w:bottom w:color="000000" w:space="0" w:sz="0" w:val="nil"/>
                    <w:right w:color="000000" w:space="0" w:sz="0" w:val="nil"/>
                  </w:tcBorders>
                  <w:shd w:fill="ffffff" w:val="clear"/>
                  <w:vAlign w:val="center"/>
                </w:tcPr>
                <w:p w:rsidR="00000000" w:rsidDel="00000000" w:rsidP="00000000" w:rsidRDefault="00000000" w:rsidRPr="00000000" w14:paraId="000001EC">
                  <w:pPr>
                    <w:rPr>
                      <w:rFonts w:ascii="Times New Roman" w:cs="Times New Roman" w:eastAsia="Times New Roman" w:hAnsi="Times New Roman"/>
                      <w:sz w:val="16"/>
                      <w:szCs w:val="16"/>
                    </w:rPr>
                  </w:pPr>
                  <w:r w:rsidDel="00000000" w:rsidR="00000000" w:rsidRPr="00000000">
                    <w:rPr>
                      <w:rFonts w:ascii="Times New Roman" w:cs="Times New Roman" w:eastAsia="Times New Roman" w:hAnsi="Times New Roman"/>
                      <w:sz w:val="16"/>
                      <w:szCs w:val="16"/>
                      <w:rtl w:val="0"/>
                    </w:rPr>
                    <w:t xml:space="preserve"> </w:t>
                  </w:r>
                </w:p>
              </w:tc>
              <w:tc>
                <w:tcPr>
                  <w:tcBorders>
                    <w:top w:color="000000" w:space="0" w:sz="0" w:val="nil"/>
                    <w:left w:color="000000" w:space="0" w:sz="0" w:val="nil"/>
                    <w:bottom w:color="000000" w:space="0" w:sz="0" w:val="nil"/>
                    <w:right w:color="000000" w:space="0" w:sz="0" w:val="nil"/>
                  </w:tcBorders>
                  <w:shd w:fill="ffffff" w:val="clear"/>
                  <w:vAlign w:val="center"/>
                </w:tcPr>
                <w:p w:rsidR="00000000" w:rsidDel="00000000" w:rsidP="00000000" w:rsidRDefault="00000000" w:rsidRPr="00000000" w14:paraId="000001ED">
                  <w:pPr>
                    <w:rPr>
                      <w:rFonts w:ascii="Times New Roman" w:cs="Times New Roman" w:eastAsia="Times New Roman" w:hAnsi="Times New Roman"/>
                      <w:sz w:val="16"/>
                      <w:szCs w:val="16"/>
                    </w:rPr>
                  </w:pPr>
                  <w:r w:rsidDel="00000000" w:rsidR="00000000" w:rsidRPr="00000000">
                    <w:rPr>
                      <w:rFonts w:ascii="Times New Roman" w:cs="Times New Roman" w:eastAsia="Times New Roman" w:hAnsi="Times New Roman"/>
                      <w:sz w:val="16"/>
                      <w:szCs w:val="16"/>
                      <w:rtl w:val="0"/>
                    </w:rPr>
                    <w:t xml:space="preserve"> </w:t>
                  </w:r>
                </w:p>
              </w:tc>
              <w:tc>
                <w:tcPr>
                  <w:tcBorders>
                    <w:top w:color="000000" w:space="0" w:sz="0" w:val="nil"/>
                    <w:left w:color="000000" w:space="0" w:sz="0" w:val="nil"/>
                    <w:bottom w:color="000000" w:space="0" w:sz="0" w:val="nil"/>
                    <w:right w:color="000000" w:space="0" w:sz="0" w:val="nil"/>
                  </w:tcBorders>
                  <w:shd w:fill="ffffff" w:val="clear"/>
                  <w:vAlign w:val="center"/>
                </w:tcPr>
                <w:p w:rsidR="00000000" w:rsidDel="00000000" w:rsidP="00000000" w:rsidRDefault="00000000" w:rsidRPr="00000000" w14:paraId="000001EE">
                  <w:pPr>
                    <w:rPr>
                      <w:rFonts w:ascii="Times New Roman" w:cs="Times New Roman" w:eastAsia="Times New Roman" w:hAnsi="Times New Roman"/>
                      <w:sz w:val="16"/>
                      <w:szCs w:val="16"/>
                    </w:rPr>
                  </w:pPr>
                  <w:r w:rsidDel="00000000" w:rsidR="00000000" w:rsidRPr="00000000">
                    <w:rPr>
                      <w:rFonts w:ascii="Times New Roman" w:cs="Times New Roman" w:eastAsia="Times New Roman" w:hAnsi="Times New Roman"/>
                      <w:sz w:val="16"/>
                      <w:szCs w:val="16"/>
                      <w:rtl w:val="0"/>
                    </w:rPr>
                    <w:t xml:space="preserve"> </w:t>
                  </w:r>
                </w:p>
              </w:tc>
              <w:tc>
                <w:tcPr>
                  <w:tcBorders>
                    <w:top w:color="000000" w:space="0" w:sz="0" w:val="nil"/>
                    <w:left w:color="000000" w:space="0" w:sz="0" w:val="nil"/>
                    <w:bottom w:color="000000" w:space="0" w:sz="0" w:val="nil"/>
                    <w:right w:color="000000" w:space="0" w:sz="8" w:val="single"/>
                  </w:tcBorders>
                  <w:shd w:fill="ffffff" w:val="clear"/>
                  <w:vAlign w:val="center"/>
                </w:tcPr>
                <w:p w:rsidR="00000000" w:rsidDel="00000000" w:rsidP="00000000" w:rsidRDefault="00000000" w:rsidRPr="00000000" w14:paraId="000001EF">
                  <w:pPr>
                    <w:rPr>
                      <w:rFonts w:ascii="Times New Roman" w:cs="Times New Roman" w:eastAsia="Times New Roman" w:hAnsi="Times New Roman"/>
                      <w:sz w:val="16"/>
                      <w:szCs w:val="16"/>
                    </w:rPr>
                  </w:pPr>
                  <w:r w:rsidDel="00000000" w:rsidR="00000000" w:rsidRPr="00000000">
                    <w:rPr>
                      <w:rFonts w:ascii="Times New Roman" w:cs="Times New Roman" w:eastAsia="Times New Roman" w:hAnsi="Times New Roman"/>
                      <w:sz w:val="16"/>
                      <w:szCs w:val="16"/>
                      <w:rtl w:val="0"/>
                    </w:rPr>
                    <w:t xml:space="preserve"> </w:t>
                  </w:r>
                </w:p>
              </w:tc>
            </w:tr>
            <w:tr>
              <w:trPr>
                <w:cantSplit w:val="0"/>
                <w:trHeight w:val="315" w:hRule="atLeast"/>
                <w:tblHeader w:val="0"/>
              </w:trPr>
              <w:tc>
                <w:tcPr>
                  <w:tcBorders>
                    <w:top w:color="000000" w:space="0" w:sz="0" w:val="nil"/>
                    <w:left w:color="000000" w:space="0" w:sz="0" w:val="nil"/>
                    <w:bottom w:color="000000" w:space="0" w:sz="0" w:val="nil"/>
                    <w:right w:color="000000" w:space="0" w:sz="0" w:val="nil"/>
                  </w:tcBorders>
                  <w:shd w:fill="ffffff" w:val="clear"/>
                  <w:vAlign w:val="center"/>
                </w:tcPr>
                <w:p w:rsidR="00000000" w:rsidDel="00000000" w:rsidP="00000000" w:rsidRDefault="00000000" w:rsidRPr="00000000" w14:paraId="000001F0">
                  <w:pPr>
                    <w:jc w:val="right"/>
                    <w:rPr>
                      <w:rFonts w:ascii="Times New Roman" w:cs="Times New Roman" w:eastAsia="Times New Roman" w:hAnsi="Times New Roman"/>
                      <w:sz w:val="16"/>
                      <w:szCs w:val="16"/>
                    </w:rPr>
                  </w:pPr>
                  <w:r w:rsidDel="00000000" w:rsidR="00000000" w:rsidRPr="00000000">
                    <w:rPr>
                      <w:rFonts w:ascii="Times New Roman" w:cs="Times New Roman" w:eastAsia="Times New Roman" w:hAnsi="Times New Roman"/>
                      <w:sz w:val="16"/>
                      <w:szCs w:val="16"/>
                      <w:rtl w:val="0"/>
                    </w:rPr>
                    <w:t xml:space="preserve"> </w:t>
                  </w:r>
                </w:p>
              </w:tc>
              <w:tc>
                <w:tcPr>
                  <w:tcBorders>
                    <w:top w:color="000000" w:space="0" w:sz="0" w:val="nil"/>
                    <w:left w:color="000000" w:space="0" w:sz="0" w:val="nil"/>
                    <w:bottom w:color="000000" w:space="0" w:sz="0" w:val="nil"/>
                    <w:right w:color="000000" w:space="0" w:sz="0" w:val="nil"/>
                  </w:tcBorders>
                  <w:shd w:fill="ffffff" w:val="clear"/>
                  <w:vAlign w:val="center"/>
                </w:tcPr>
                <w:p w:rsidR="00000000" w:rsidDel="00000000" w:rsidP="00000000" w:rsidRDefault="00000000" w:rsidRPr="00000000" w14:paraId="000001F1">
                  <w:pPr>
                    <w:jc w:val="center"/>
                    <w:rPr>
                      <w:rFonts w:ascii="Times New Roman" w:cs="Times New Roman" w:eastAsia="Times New Roman" w:hAnsi="Times New Roman"/>
                      <w:sz w:val="16"/>
                      <w:szCs w:val="16"/>
                    </w:rPr>
                  </w:pPr>
                  <w:r w:rsidDel="00000000" w:rsidR="00000000" w:rsidRPr="00000000">
                    <w:rPr>
                      <w:rFonts w:ascii="Times New Roman" w:cs="Times New Roman" w:eastAsia="Times New Roman" w:hAnsi="Times New Roman"/>
                      <w:sz w:val="16"/>
                      <w:szCs w:val="16"/>
                      <w:rtl w:val="0"/>
                    </w:rPr>
                    <w:t xml:space="preserve">Año 1</w:t>
                  </w:r>
                </w:p>
              </w:tc>
              <w:tc>
                <w:tcPr>
                  <w:tcBorders>
                    <w:top w:color="000000" w:space="0" w:sz="0" w:val="nil"/>
                    <w:left w:color="000000" w:space="0" w:sz="0" w:val="nil"/>
                    <w:bottom w:color="000000" w:space="0" w:sz="0" w:val="nil"/>
                    <w:right w:color="000000" w:space="0" w:sz="0" w:val="nil"/>
                  </w:tcBorders>
                  <w:shd w:fill="ffffff" w:val="clear"/>
                  <w:vAlign w:val="center"/>
                </w:tcPr>
                <w:p w:rsidR="00000000" w:rsidDel="00000000" w:rsidP="00000000" w:rsidRDefault="00000000" w:rsidRPr="00000000" w14:paraId="000001F2">
                  <w:pPr>
                    <w:jc w:val="center"/>
                    <w:rPr>
                      <w:rFonts w:ascii="Times New Roman" w:cs="Times New Roman" w:eastAsia="Times New Roman" w:hAnsi="Times New Roman"/>
                      <w:sz w:val="16"/>
                      <w:szCs w:val="16"/>
                    </w:rPr>
                  </w:pPr>
                  <w:r w:rsidDel="00000000" w:rsidR="00000000" w:rsidRPr="00000000">
                    <w:rPr>
                      <w:rFonts w:ascii="Times New Roman" w:cs="Times New Roman" w:eastAsia="Times New Roman" w:hAnsi="Times New Roman"/>
                      <w:sz w:val="16"/>
                      <w:szCs w:val="16"/>
                      <w:rtl w:val="0"/>
                    </w:rPr>
                    <w:t xml:space="preserve"> </w:t>
                  </w:r>
                </w:p>
              </w:tc>
              <w:tc>
                <w:tcPr>
                  <w:tcBorders>
                    <w:top w:color="000000" w:space="0" w:sz="0" w:val="nil"/>
                    <w:left w:color="000000" w:space="0" w:sz="0" w:val="nil"/>
                    <w:bottom w:color="000000" w:space="0" w:sz="0" w:val="nil"/>
                    <w:right w:color="000000" w:space="0" w:sz="0" w:val="nil"/>
                  </w:tcBorders>
                  <w:shd w:fill="ffffff" w:val="clear"/>
                  <w:vAlign w:val="center"/>
                </w:tcPr>
                <w:p w:rsidR="00000000" w:rsidDel="00000000" w:rsidP="00000000" w:rsidRDefault="00000000" w:rsidRPr="00000000" w14:paraId="000001F3">
                  <w:pPr>
                    <w:jc w:val="center"/>
                    <w:rPr>
                      <w:rFonts w:ascii="Times New Roman" w:cs="Times New Roman" w:eastAsia="Times New Roman" w:hAnsi="Times New Roman"/>
                      <w:sz w:val="16"/>
                      <w:szCs w:val="16"/>
                    </w:rPr>
                  </w:pPr>
                  <w:r w:rsidDel="00000000" w:rsidR="00000000" w:rsidRPr="00000000">
                    <w:rPr>
                      <w:rFonts w:ascii="Times New Roman" w:cs="Times New Roman" w:eastAsia="Times New Roman" w:hAnsi="Times New Roman"/>
                      <w:sz w:val="16"/>
                      <w:szCs w:val="16"/>
                      <w:rtl w:val="0"/>
                    </w:rPr>
                    <w:t xml:space="preserve">Año 2</w:t>
                  </w:r>
                </w:p>
              </w:tc>
              <w:tc>
                <w:tcPr>
                  <w:tcBorders>
                    <w:top w:color="000000" w:space="0" w:sz="0" w:val="nil"/>
                    <w:left w:color="000000" w:space="0" w:sz="0" w:val="nil"/>
                    <w:bottom w:color="000000" w:space="0" w:sz="0" w:val="nil"/>
                    <w:right w:color="000000" w:space="0" w:sz="0" w:val="nil"/>
                  </w:tcBorders>
                  <w:shd w:fill="ffffff" w:val="clear"/>
                  <w:vAlign w:val="center"/>
                </w:tcPr>
                <w:p w:rsidR="00000000" w:rsidDel="00000000" w:rsidP="00000000" w:rsidRDefault="00000000" w:rsidRPr="00000000" w14:paraId="000001F4">
                  <w:pPr>
                    <w:jc w:val="center"/>
                    <w:rPr>
                      <w:rFonts w:ascii="Times New Roman" w:cs="Times New Roman" w:eastAsia="Times New Roman" w:hAnsi="Times New Roman"/>
                      <w:sz w:val="16"/>
                      <w:szCs w:val="16"/>
                    </w:rPr>
                  </w:pPr>
                  <w:r w:rsidDel="00000000" w:rsidR="00000000" w:rsidRPr="00000000">
                    <w:rPr>
                      <w:rFonts w:ascii="Times New Roman" w:cs="Times New Roman" w:eastAsia="Times New Roman" w:hAnsi="Times New Roman"/>
                      <w:sz w:val="16"/>
                      <w:szCs w:val="16"/>
                      <w:rtl w:val="0"/>
                    </w:rPr>
                    <w:t xml:space="preserve"> </w:t>
                  </w:r>
                </w:p>
              </w:tc>
              <w:tc>
                <w:tcPr>
                  <w:tcBorders>
                    <w:top w:color="000000" w:space="0" w:sz="0" w:val="nil"/>
                    <w:left w:color="000000" w:space="0" w:sz="0" w:val="nil"/>
                    <w:bottom w:color="000000" w:space="0" w:sz="0" w:val="nil"/>
                    <w:right w:color="000000" w:space="0" w:sz="0" w:val="nil"/>
                  </w:tcBorders>
                  <w:shd w:fill="ffffff" w:val="clear"/>
                  <w:vAlign w:val="bottom"/>
                </w:tcPr>
                <w:p w:rsidR="00000000" w:rsidDel="00000000" w:rsidP="00000000" w:rsidRDefault="00000000" w:rsidRPr="00000000" w14:paraId="000001F5">
                  <w:pPr>
                    <w:jc w:val="center"/>
                    <w:rPr>
                      <w:rFonts w:ascii="Times New Roman" w:cs="Times New Roman" w:eastAsia="Times New Roman" w:hAnsi="Times New Roman"/>
                      <w:sz w:val="16"/>
                      <w:szCs w:val="16"/>
                    </w:rPr>
                  </w:pPr>
                  <w:r w:rsidDel="00000000" w:rsidR="00000000" w:rsidRPr="00000000">
                    <w:rPr>
                      <w:rFonts w:ascii="Times New Roman" w:cs="Times New Roman" w:eastAsia="Times New Roman" w:hAnsi="Times New Roman"/>
                      <w:sz w:val="16"/>
                      <w:szCs w:val="16"/>
                      <w:rtl w:val="0"/>
                    </w:rPr>
                    <w:t xml:space="preserve">Año 3</w:t>
                  </w:r>
                </w:p>
              </w:tc>
              <w:tc>
                <w:tcPr>
                  <w:tcBorders>
                    <w:top w:color="000000" w:space="0" w:sz="0" w:val="nil"/>
                    <w:left w:color="000000" w:space="0" w:sz="0" w:val="nil"/>
                    <w:bottom w:color="000000" w:space="0" w:sz="0" w:val="nil"/>
                    <w:right w:color="000000" w:space="0" w:sz="0" w:val="nil"/>
                  </w:tcBorders>
                  <w:shd w:fill="ffffff" w:val="clear"/>
                  <w:vAlign w:val="bottom"/>
                </w:tcPr>
                <w:p w:rsidR="00000000" w:rsidDel="00000000" w:rsidP="00000000" w:rsidRDefault="00000000" w:rsidRPr="00000000" w14:paraId="000001F6">
                  <w:pPr>
                    <w:jc w:val="center"/>
                    <w:rPr>
                      <w:rFonts w:ascii="Times New Roman" w:cs="Times New Roman" w:eastAsia="Times New Roman" w:hAnsi="Times New Roman"/>
                      <w:sz w:val="16"/>
                      <w:szCs w:val="16"/>
                    </w:rPr>
                  </w:pPr>
                  <w:r w:rsidDel="00000000" w:rsidR="00000000" w:rsidRPr="00000000">
                    <w:rPr>
                      <w:rFonts w:ascii="Times New Roman" w:cs="Times New Roman" w:eastAsia="Times New Roman" w:hAnsi="Times New Roman"/>
                      <w:sz w:val="16"/>
                      <w:szCs w:val="16"/>
                      <w:rtl w:val="0"/>
                    </w:rPr>
                    <w:t xml:space="preserve"> </w:t>
                  </w:r>
                </w:p>
              </w:tc>
              <w:tc>
                <w:tcPr>
                  <w:tcBorders>
                    <w:top w:color="000000" w:space="0" w:sz="0" w:val="nil"/>
                    <w:left w:color="000000" w:space="0" w:sz="0" w:val="nil"/>
                    <w:bottom w:color="000000" w:space="0" w:sz="0" w:val="nil"/>
                    <w:right w:color="000000" w:space="0" w:sz="0" w:val="nil"/>
                  </w:tcBorders>
                  <w:shd w:fill="ffffff" w:val="clear"/>
                  <w:vAlign w:val="bottom"/>
                </w:tcPr>
                <w:p w:rsidR="00000000" w:rsidDel="00000000" w:rsidP="00000000" w:rsidRDefault="00000000" w:rsidRPr="00000000" w14:paraId="000001F7">
                  <w:pPr>
                    <w:jc w:val="center"/>
                    <w:rPr>
                      <w:rFonts w:ascii="Times New Roman" w:cs="Times New Roman" w:eastAsia="Times New Roman" w:hAnsi="Times New Roman"/>
                      <w:sz w:val="16"/>
                      <w:szCs w:val="16"/>
                    </w:rPr>
                  </w:pPr>
                  <w:r w:rsidDel="00000000" w:rsidR="00000000" w:rsidRPr="00000000">
                    <w:rPr>
                      <w:rFonts w:ascii="Times New Roman" w:cs="Times New Roman" w:eastAsia="Times New Roman" w:hAnsi="Times New Roman"/>
                      <w:sz w:val="16"/>
                      <w:szCs w:val="16"/>
                      <w:rtl w:val="0"/>
                    </w:rPr>
                    <w:t xml:space="preserve">Año 4</w:t>
                  </w:r>
                </w:p>
              </w:tc>
              <w:tc>
                <w:tcPr>
                  <w:tcBorders>
                    <w:top w:color="000000" w:space="0" w:sz="0" w:val="nil"/>
                    <w:left w:color="000000" w:space="0" w:sz="0" w:val="nil"/>
                    <w:bottom w:color="000000" w:space="0" w:sz="0" w:val="nil"/>
                    <w:right w:color="000000" w:space="0" w:sz="0" w:val="nil"/>
                  </w:tcBorders>
                  <w:shd w:fill="ffffff" w:val="clear"/>
                  <w:vAlign w:val="center"/>
                </w:tcPr>
                <w:p w:rsidR="00000000" w:rsidDel="00000000" w:rsidP="00000000" w:rsidRDefault="00000000" w:rsidRPr="00000000" w14:paraId="000001F8">
                  <w:pPr>
                    <w:jc w:val="center"/>
                    <w:rPr>
                      <w:rFonts w:ascii="Times New Roman" w:cs="Times New Roman" w:eastAsia="Times New Roman" w:hAnsi="Times New Roman"/>
                      <w:sz w:val="16"/>
                      <w:szCs w:val="16"/>
                    </w:rPr>
                  </w:pPr>
                  <w:r w:rsidDel="00000000" w:rsidR="00000000" w:rsidRPr="00000000">
                    <w:rPr>
                      <w:rFonts w:ascii="Times New Roman" w:cs="Times New Roman" w:eastAsia="Times New Roman" w:hAnsi="Times New Roman"/>
                      <w:sz w:val="16"/>
                      <w:szCs w:val="16"/>
                      <w:rtl w:val="0"/>
                    </w:rPr>
                    <w:t xml:space="preserve"> </w:t>
                  </w:r>
                </w:p>
              </w:tc>
              <w:tc>
                <w:tcPr>
                  <w:tcBorders>
                    <w:top w:color="000000" w:space="0" w:sz="0" w:val="nil"/>
                    <w:left w:color="000000" w:space="0" w:sz="0" w:val="nil"/>
                    <w:bottom w:color="000000" w:space="0" w:sz="0" w:val="nil"/>
                    <w:right w:color="000000" w:space="0" w:sz="0" w:val="nil"/>
                  </w:tcBorders>
                  <w:shd w:fill="ffffff" w:val="clear"/>
                  <w:vAlign w:val="center"/>
                </w:tcPr>
                <w:p w:rsidR="00000000" w:rsidDel="00000000" w:rsidP="00000000" w:rsidRDefault="00000000" w:rsidRPr="00000000" w14:paraId="000001F9">
                  <w:pPr>
                    <w:jc w:val="center"/>
                    <w:rPr>
                      <w:rFonts w:ascii="Times New Roman" w:cs="Times New Roman" w:eastAsia="Times New Roman" w:hAnsi="Times New Roman"/>
                      <w:sz w:val="16"/>
                      <w:szCs w:val="16"/>
                    </w:rPr>
                  </w:pPr>
                  <w:r w:rsidDel="00000000" w:rsidR="00000000" w:rsidRPr="00000000">
                    <w:rPr>
                      <w:rFonts w:ascii="Times New Roman" w:cs="Times New Roman" w:eastAsia="Times New Roman" w:hAnsi="Times New Roman"/>
                      <w:sz w:val="16"/>
                      <w:szCs w:val="16"/>
                      <w:rtl w:val="0"/>
                    </w:rPr>
                    <w:t xml:space="preserve">Año 5</w:t>
                  </w:r>
                </w:p>
              </w:tc>
              <w:tc>
                <w:tcPr>
                  <w:tcBorders>
                    <w:top w:color="000000" w:space="0" w:sz="0" w:val="nil"/>
                    <w:left w:color="000000" w:space="0" w:sz="0" w:val="nil"/>
                    <w:bottom w:color="000000" w:space="0" w:sz="0" w:val="nil"/>
                    <w:right w:color="000000" w:space="0" w:sz="8" w:val="single"/>
                  </w:tcBorders>
                  <w:shd w:fill="ffffff" w:val="clear"/>
                  <w:vAlign w:val="center"/>
                </w:tcPr>
                <w:p w:rsidR="00000000" w:rsidDel="00000000" w:rsidP="00000000" w:rsidRDefault="00000000" w:rsidRPr="00000000" w14:paraId="000001FA">
                  <w:pPr>
                    <w:rPr>
                      <w:rFonts w:ascii="Times New Roman" w:cs="Times New Roman" w:eastAsia="Times New Roman" w:hAnsi="Times New Roman"/>
                      <w:sz w:val="16"/>
                      <w:szCs w:val="16"/>
                    </w:rPr>
                  </w:pPr>
                  <w:r w:rsidDel="00000000" w:rsidR="00000000" w:rsidRPr="00000000">
                    <w:rPr>
                      <w:rFonts w:ascii="Times New Roman" w:cs="Times New Roman" w:eastAsia="Times New Roman" w:hAnsi="Times New Roman"/>
                      <w:sz w:val="16"/>
                      <w:szCs w:val="16"/>
                      <w:rtl w:val="0"/>
                    </w:rPr>
                    <w:t xml:space="preserve"> </w:t>
                  </w:r>
                </w:p>
              </w:tc>
            </w:tr>
            <w:tr>
              <w:trPr>
                <w:cantSplit w:val="0"/>
                <w:trHeight w:val="315" w:hRule="atLeast"/>
                <w:tblHeader w:val="0"/>
              </w:trPr>
              <w:tc>
                <w:tcPr>
                  <w:tcBorders>
                    <w:top w:color="000000" w:space="0" w:sz="0" w:val="nil"/>
                    <w:left w:color="000000" w:space="0" w:sz="0" w:val="nil"/>
                    <w:bottom w:color="000000" w:space="0" w:sz="0" w:val="nil"/>
                    <w:right w:color="000000" w:space="0" w:sz="0" w:val="nil"/>
                  </w:tcBorders>
                  <w:shd w:fill="ffffff" w:val="clear"/>
                  <w:vAlign w:val="center"/>
                </w:tcPr>
                <w:p w:rsidR="00000000" w:rsidDel="00000000" w:rsidP="00000000" w:rsidRDefault="00000000" w:rsidRPr="00000000" w14:paraId="000001FB">
                  <w:pPr>
                    <w:jc w:val="right"/>
                    <w:rPr>
                      <w:rFonts w:ascii="Times New Roman" w:cs="Times New Roman" w:eastAsia="Times New Roman" w:hAnsi="Times New Roman"/>
                      <w:sz w:val="16"/>
                      <w:szCs w:val="16"/>
                    </w:rPr>
                  </w:pPr>
                  <w:r w:rsidDel="00000000" w:rsidR="00000000" w:rsidRPr="00000000">
                    <w:rPr>
                      <w:rFonts w:ascii="Times New Roman" w:cs="Times New Roman" w:eastAsia="Times New Roman" w:hAnsi="Times New Roman"/>
                      <w:sz w:val="16"/>
                      <w:szCs w:val="16"/>
                      <w:rtl w:val="0"/>
                    </w:rPr>
                    <w:t xml:space="preserve"> </w:t>
                  </w:r>
                </w:p>
              </w:tc>
              <w:tc>
                <w:tcPr>
                  <w:tcBorders>
                    <w:top w:color="000000" w:space="0" w:sz="4" w:val="single"/>
                    <w:left w:color="000000" w:space="0" w:sz="4" w:val="single"/>
                    <w:bottom w:color="000000" w:space="0" w:sz="4" w:val="single"/>
                    <w:right w:color="000000" w:space="0" w:sz="0" w:val="nil"/>
                  </w:tcBorders>
                  <w:shd w:fill="ffffff" w:val="clear"/>
                  <w:vAlign w:val="center"/>
                </w:tcPr>
                <w:p w:rsidR="00000000" w:rsidDel="00000000" w:rsidP="00000000" w:rsidRDefault="00000000" w:rsidRPr="00000000" w14:paraId="000001FC">
                  <w:pPr>
                    <w:jc w:val="center"/>
                    <w:rPr>
                      <w:rFonts w:ascii="Times New Roman" w:cs="Times New Roman" w:eastAsia="Times New Roman" w:hAnsi="Times New Roman"/>
                      <w:sz w:val="16"/>
                      <w:szCs w:val="16"/>
                    </w:rPr>
                  </w:pPr>
                  <w:r w:rsidDel="00000000" w:rsidR="00000000" w:rsidRPr="00000000">
                    <w:rPr>
                      <w:rFonts w:ascii="Times New Roman" w:cs="Times New Roman" w:eastAsia="Times New Roman" w:hAnsi="Times New Roman"/>
                      <w:sz w:val="16"/>
                      <w:szCs w:val="16"/>
                      <w:rtl w:val="0"/>
                    </w:rPr>
                    <w:t xml:space="preserve"> 0</w:t>
                  </w:r>
                </w:p>
              </w:tc>
              <w:tc>
                <w:tcPr>
                  <w:tcBorders>
                    <w:top w:color="000000" w:space="0" w:sz="4" w:val="single"/>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1FD">
                  <w:pPr>
                    <w:jc w:val="center"/>
                    <w:rPr>
                      <w:rFonts w:ascii="Times New Roman" w:cs="Times New Roman" w:eastAsia="Times New Roman" w:hAnsi="Times New Roman"/>
                      <w:sz w:val="16"/>
                      <w:szCs w:val="16"/>
                    </w:rPr>
                  </w:pPr>
                  <w:r w:rsidDel="00000000" w:rsidR="00000000" w:rsidRPr="00000000">
                    <w:rPr>
                      <w:rtl w:val="0"/>
                    </w:rPr>
                  </w:r>
                </w:p>
              </w:tc>
              <w:tc>
                <w:tcPr>
                  <w:tcBorders>
                    <w:top w:color="000000" w:space="0" w:sz="4" w:val="single"/>
                    <w:left w:color="000000" w:space="0" w:sz="0" w:val="nil"/>
                    <w:bottom w:color="000000" w:space="0" w:sz="4" w:val="single"/>
                    <w:right w:color="000000" w:space="0" w:sz="0" w:val="nil"/>
                  </w:tcBorders>
                  <w:shd w:fill="ffffff" w:val="clear"/>
                  <w:vAlign w:val="center"/>
                </w:tcPr>
                <w:p w:rsidR="00000000" w:rsidDel="00000000" w:rsidP="00000000" w:rsidRDefault="00000000" w:rsidRPr="00000000" w14:paraId="000001FE">
                  <w:pPr>
                    <w:jc w:val="center"/>
                    <w:rPr>
                      <w:rFonts w:ascii="Times New Roman" w:cs="Times New Roman" w:eastAsia="Times New Roman" w:hAnsi="Times New Roman"/>
                      <w:sz w:val="16"/>
                      <w:szCs w:val="16"/>
                    </w:rPr>
                  </w:pPr>
                  <w:r w:rsidDel="00000000" w:rsidR="00000000" w:rsidRPr="00000000">
                    <w:rPr>
                      <w:rFonts w:ascii="Times New Roman" w:cs="Times New Roman" w:eastAsia="Times New Roman" w:hAnsi="Times New Roman"/>
                      <w:sz w:val="16"/>
                      <w:szCs w:val="16"/>
                      <w:rtl w:val="0"/>
                    </w:rPr>
                    <w:t xml:space="preserve">1</w:t>
                  </w:r>
                </w:p>
              </w:tc>
              <w:tc>
                <w:tcPr>
                  <w:tcBorders>
                    <w:top w:color="000000" w:space="0" w:sz="4" w:val="single"/>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1FF">
                  <w:pPr>
                    <w:rPr>
                      <w:rFonts w:ascii="Times New Roman" w:cs="Times New Roman" w:eastAsia="Times New Roman" w:hAnsi="Times New Roman"/>
                      <w:sz w:val="16"/>
                      <w:szCs w:val="16"/>
                    </w:rPr>
                  </w:pPr>
                  <w:r w:rsidDel="00000000" w:rsidR="00000000" w:rsidRPr="00000000">
                    <w:rPr>
                      <w:rFonts w:ascii="Times New Roman" w:cs="Times New Roman" w:eastAsia="Times New Roman" w:hAnsi="Times New Roman"/>
                      <w:sz w:val="16"/>
                      <w:szCs w:val="16"/>
                      <w:rtl w:val="0"/>
                    </w:rPr>
                    <w:t xml:space="preserve"> </w:t>
                  </w:r>
                </w:p>
              </w:tc>
              <w:tc>
                <w:tcPr>
                  <w:tcBorders>
                    <w:top w:color="000000" w:space="0" w:sz="4" w:val="single"/>
                    <w:left w:color="000000" w:space="0" w:sz="0" w:val="nil"/>
                    <w:bottom w:color="000000" w:space="0" w:sz="4" w:val="single"/>
                    <w:right w:color="000000" w:space="0" w:sz="0" w:val="nil"/>
                  </w:tcBorders>
                  <w:shd w:fill="ffffff" w:val="clear"/>
                  <w:vAlign w:val="center"/>
                </w:tcPr>
                <w:p w:rsidR="00000000" w:rsidDel="00000000" w:rsidP="00000000" w:rsidRDefault="00000000" w:rsidRPr="00000000" w14:paraId="00000200">
                  <w:pPr>
                    <w:jc w:val="center"/>
                    <w:rPr>
                      <w:rFonts w:ascii="Times New Roman" w:cs="Times New Roman" w:eastAsia="Times New Roman" w:hAnsi="Times New Roman"/>
                      <w:sz w:val="16"/>
                      <w:szCs w:val="16"/>
                    </w:rPr>
                  </w:pPr>
                  <w:r w:rsidDel="00000000" w:rsidR="00000000" w:rsidRPr="00000000">
                    <w:rPr>
                      <w:rFonts w:ascii="Times New Roman" w:cs="Times New Roman" w:eastAsia="Times New Roman" w:hAnsi="Times New Roman"/>
                      <w:sz w:val="16"/>
                      <w:szCs w:val="16"/>
                      <w:rtl w:val="0"/>
                    </w:rPr>
                    <w:t xml:space="preserve"> 0</w:t>
                  </w:r>
                </w:p>
              </w:tc>
              <w:tc>
                <w:tcPr>
                  <w:tcBorders>
                    <w:top w:color="000000" w:space="0" w:sz="4" w:val="single"/>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201">
                  <w:pPr>
                    <w:jc w:val="center"/>
                    <w:rPr>
                      <w:rFonts w:ascii="Times New Roman" w:cs="Times New Roman" w:eastAsia="Times New Roman" w:hAnsi="Times New Roman"/>
                      <w:sz w:val="16"/>
                      <w:szCs w:val="16"/>
                    </w:rPr>
                  </w:pPr>
                  <w:r w:rsidDel="00000000" w:rsidR="00000000" w:rsidRPr="00000000">
                    <w:rPr>
                      <w:rFonts w:ascii="Times New Roman" w:cs="Times New Roman" w:eastAsia="Times New Roman" w:hAnsi="Times New Roman"/>
                      <w:sz w:val="16"/>
                      <w:szCs w:val="16"/>
                      <w:rtl w:val="0"/>
                    </w:rPr>
                    <w:t xml:space="preserve"> </w:t>
                  </w:r>
                </w:p>
              </w:tc>
              <w:tc>
                <w:tcPr>
                  <w:tcBorders>
                    <w:top w:color="000000" w:space="0" w:sz="4" w:val="single"/>
                    <w:left w:color="000000" w:space="0" w:sz="0" w:val="nil"/>
                    <w:bottom w:color="000000" w:space="0" w:sz="4" w:val="single"/>
                    <w:right w:color="000000" w:space="0" w:sz="0" w:val="nil"/>
                  </w:tcBorders>
                  <w:shd w:fill="ffffff" w:val="clear"/>
                  <w:vAlign w:val="center"/>
                </w:tcPr>
                <w:p w:rsidR="00000000" w:rsidDel="00000000" w:rsidP="00000000" w:rsidRDefault="00000000" w:rsidRPr="00000000" w14:paraId="00000202">
                  <w:pPr>
                    <w:jc w:val="center"/>
                    <w:rPr>
                      <w:rFonts w:ascii="Times New Roman" w:cs="Times New Roman" w:eastAsia="Times New Roman" w:hAnsi="Times New Roman"/>
                      <w:sz w:val="16"/>
                      <w:szCs w:val="16"/>
                    </w:rPr>
                  </w:pPr>
                  <w:r w:rsidDel="00000000" w:rsidR="00000000" w:rsidRPr="00000000">
                    <w:rPr>
                      <w:rFonts w:ascii="Times New Roman" w:cs="Times New Roman" w:eastAsia="Times New Roman" w:hAnsi="Times New Roman"/>
                      <w:sz w:val="16"/>
                      <w:szCs w:val="16"/>
                      <w:rtl w:val="0"/>
                    </w:rPr>
                    <w:t xml:space="preserve">0</w:t>
                  </w:r>
                </w:p>
              </w:tc>
              <w:tc>
                <w:tcPr>
                  <w:tcBorders>
                    <w:top w:color="000000" w:space="0" w:sz="4" w:val="single"/>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203">
                  <w:pPr>
                    <w:jc w:val="center"/>
                    <w:rPr>
                      <w:rFonts w:ascii="Times New Roman" w:cs="Times New Roman" w:eastAsia="Times New Roman" w:hAnsi="Times New Roman"/>
                      <w:sz w:val="16"/>
                      <w:szCs w:val="16"/>
                    </w:rPr>
                  </w:pPr>
                  <w:r w:rsidDel="00000000" w:rsidR="00000000" w:rsidRPr="00000000">
                    <w:rPr>
                      <w:rFonts w:ascii="Times New Roman" w:cs="Times New Roman" w:eastAsia="Times New Roman" w:hAnsi="Times New Roman"/>
                      <w:sz w:val="16"/>
                      <w:szCs w:val="16"/>
                      <w:rtl w:val="0"/>
                    </w:rPr>
                    <w:t xml:space="preserve"> </w:t>
                  </w:r>
                </w:p>
              </w:tc>
              <w:tc>
                <w:tcPr>
                  <w:tcBorders>
                    <w:top w:color="000000" w:space="0" w:sz="4" w:val="single"/>
                    <w:left w:color="000000" w:space="0" w:sz="0" w:val="nil"/>
                    <w:bottom w:color="000000" w:space="0" w:sz="4" w:val="single"/>
                    <w:right w:color="000000" w:space="0" w:sz="0" w:val="nil"/>
                  </w:tcBorders>
                  <w:shd w:fill="ffffff" w:val="clear"/>
                  <w:vAlign w:val="center"/>
                </w:tcPr>
                <w:p w:rsidR="00000000" w:rsidDel="00000000" w:rsidP="00000000" w:rsidRDefault="00000000" w:rsidRPr="00000000" w14:paraId="00000204">
                  <w:pPr>
                    <w:jc w:val="center"/>
                    <w:rPr>
                      <w:rFonts w:ascii="Times New Roman" w:cs="Times New Roman" w:eastAsia="Times New Roman" w:hAnsi="Times New Roman"/>
                      <w:sz w:val="16"/>
                      <w:szCs w:val="16"/>
                    </w:rPr>
                  </w:pPr>
                  <w:r w:rsidDel="00000000" w:rsidR="00000000" w:rsidRPr="00000000">
                    <w:rPr>
                      <w:rFonts w:ascii="Times New Roman" w:cs="Times New Roman" w:eastAsia="Times New Roman" w:hAnsi="Times New Roman"/>
                      <w:sz w:val="16"/>
                      <w:szCs w:val="16"/>
                      <w:rtl w:val="0"/>
                    </w:rPr>
                    <w:t xml:space="preserve">0 </w:t>
                  </w:r>
                </w:p>
              </w:tc>
              <w:tc>
                <w:tcPr>
                  <w:tcBorders>
                    <w:top w:color="000000" w:space="0" w:sz="4" w:val="single"/>
                    <w:left w:color="000000" w:space="0" w:sz="0" w:val="nil"/>
                    <w:bottom w:color="000000" w:space="0" w:sz="4" w:val="single"/>
                    <w:right w:color="000000" w:space="0" w:sz="8" w:val="single"/>
                  </w:tcBorders>
                  <w:shd w:fill="ffffff" w:val="clear"/>
                  <w:vAlign w:val="center"/>
                </w:tcPr>
                <w:p w:rsidR="00000000" w:rsidDel="00000000" w:rsidP="00000000" w:rsidRDefault="00000000" w:rsidRPr="00000000" w14:paraId="00000205">
                  <w:pPr>
                    <w:jc w:val="center"/>
                    <w:rPr>
                      <w:rFonts w:ascii="Times New Roman" w:cs="Times New Roman" w:eastAsia="Times New Roman" w:hAnsi="Times New Roman"/>
                      <w:sz w:val="16"/>
                      <w:szCs w:val="16"/>
                    </w:rPr>
                  </w:pPr>
                  <w:r w:rsidDel="00000000" w:rsidR="00000000" w:rsidRPr="00000000">
                    <w:rPr>
                      <w:rFonts w:ascii="Times New Roman" w:cs="Times New Roman" w:eastAsia="Times New Roman" w:hAnsi="Times New Roman"/>
                      <w:sz w:val="16"/>
                      <w:szCs w:val="16"/>
                      <w:rtl w:val="0"/>
                    </w:rPr>
                    <w:t xml:space="preserve"> </w:t>
                  </w:r>
                </w:p>
              </w:tc>
            </w:tr>
            <w:tr>
              <w:trPr>
                <w:cantSplit w:val="0"/>
                <w:trHeight w:val="315" w:hRule="atLeast"/>
                <w:tblHeader w:val="0"/>
              </w:trPr>
              <w:tc>
                <w:tcPr>
                  <w:tcBorders>
                    <w:top w:color="000000" w:space="0" w:sz="0" w:val="nil"/>
                    <w:left w:color="000000" w:space="0" w:sz="0" w:val="nil"/>
                    <w:bottom w:color="000000" w:space="0" w:sz="0" w:val="nil"/>
                    <w:right w:color="000000" w:space="0" w:sz="0" w:val="nil"/>
                  </w:tcBorders>
                  <w:shd w:fill="ffffff" w:val="clear"/>
                  <w:vAlign w:val="center"/>
                </w:tcPr>
                <w:p w:rsidR="00000000" w:rsidDel="00000000" w:rsidP="00000000" w:rsidRDefault="00000000" w:rsidRPr="00000000" w14:paraId="00000206">
                  <w:pPr>
                    <w:jc w:val="right"/>
                    <w:rPr>
                      <w:rFonts w:ascii="Times New Roman" w:cs="Times New Roman" w:eastAsia="Times New Roman" w:hAnsi="Times New Roman"/>
                      <w:sz w:val="16"/>
                      <w:szCs w:val="16"/>
                    </w:rPr>
                  </w:pPr>
                  <w:r w:rsidDel="00000000" w:rsidR="00000000" w:rsidRPr="00000000">
                    <w:rPr>
                      <w:rFonts w:ascii="Times New Roman" w:cs="Times New Roman" w:eastAsia="Times New Roman" w:hAnsi="Times New Roman"/>
                      <w:sz w:val="16"/>
                      <w:szCs w:val="16"/>
                      <w:rtl w:val="0"/>
                    </w:rPr>
                    <w:t xml:space="preserve"> </w:t>
                  </w:r>
                </w:p>
              </w:tc>
              <w:tc>
                <w:tcPr>
                  <w:tcBorders>
                    <w:top w:color="000000" w:space="0" w:sz="0" w:val="nil"/>
                    <w:left w:color="000000" w:space="0" w:sz="0" w:val="nil"/>
                    <w:bottom w:color="000000" w:space="0" w:sz="0" w:val="nil"/>
                    <w:right w:color="000000" w:space="0" w:sz="0" w:val="nil"/>
                  </w:tcBorders>
                  <w:shd w:fill="ffffff" w:val="clear"/>
                  <w:vAlign w:val="center"/>
                </w:tcPr>
                <w:p w:rsidR="00000000" w:rsidDel="00000000" w:rsidP="00000000" w:rsidRDefault="00000000" w:rsidRPr="00000000" w14:paraId="00000207">
                  <w:pPr>
                    <w:jc w:val="center"/>
                    <w:rPr>
                      <w:rFonts w:ascii="Times New Roman" w:cs="Times New Roman" w:eastAsia="Times New Roman" w:hAnsi="Times New Roman"/>
                      <w:sz w:val="16"/>
                      <w:szCs w:val="16"/>
                    </w:rPr>
                  </w:pPr>
                  <w:r w:rsidDel="00000000" w:rsidR="00000000" w:rsidRPr="00000000">
                    <w:rPr>
                      <w:rFonts w:ascii="Times New Roman" w:cs="Times New Roman" w:eastAsia="Times New Roman" w:hAnsi="Times New Roman"/>
                      <w:sz w:val="16"/>
                      <w:szCs w:val="16"/>
                      <w:rtl w:val="0"/>
                    </w:rPr>
                    <w:t xml:space="preserve">Año 6</w:t>
                  </w:r>
                </w:p>
              </w:tc>
              <w:tc>
                <w:tcPr>
                  <w:tcBorders>
                    <w:top w:color="000000" w:space="0" w:sz="0" w:val="nil"/>
                    <w:left w:color="000000" w:space="0" w:sz="0" w:val="nil"/>
                    <w:bottom w:color="000000" w:space="0" w:sz="0" w:val="nil"/>
                    <w:right w:color="000000" w:space="0" w:sz="0" w:val="nil"/>
                  </w:tcBorders>
                  <w:shd w:fill="ffffff" w:val="clear"/>
                  <w:vAlign w:val="center"/>
                </w:tcPr>
                <w:p w:rsidR="00000000" w:rsidDel="00000000" w:rsidP="00000000" w:rsidRDefault="00000000" w:rsidRPr="00000000" w14:paraId="00000208">
                  <w:pPr>
                    <w:jc w:val="center"/>
                    <w:rPr>
                      <w:rFonts w:ascii="Times New Roman" w:cs="Times New Roman" w:eastAsia="Times New Roman" w:hAnsi="Times New Roman"/>
                      <w:sz w:val="16"/>
                      <w:szCs w:val="16"/>
                    </w:rPr>
                  </w:pPr>
                  <w:r w:rsidDel="00000000" w:rsidR="00000000" w:rsidRPr="00000000">
                    <w:rPr>
                      <w:rFonts w:ascii="Times New Roman" w:cs="Times New Roman" w:eastAsia="Times New Roman" w:hAnsi="Times New Roman"/>
                      <w:sz w:val="16"/>
                      <w:szCs w:val="16"/>
                      <w:rtl w:val="0"/>
                    </w:rPr>
                    <w:t xml:space="preserve"> </w:t>
                  </w:r>
                </w:p>
              </w:tc>
              <w:tc>
                <w:tcPr>
                  <w:tcBorders>
                    <w:top w:color="000000" w:space="0" w:sz="0" w:val="nil"/>
                    <w:left w:color="000000" w:space="0" w:sz="0" w:val="nil"/>
                    <w:bottom w:color="000000" w:space="0" w:sz="0" w:val="nil"/>
                    <w:right w:color="000000" w:space="0" w:sz="0" w:val="nil"/>
                  </w:tcBorders>
                  <w:shd w:fill="ffffff" w:val="clear"/>
                  <w:vAlign w:val="center"/>
                </w:tcPr>
                <w:p w:rsidR="00000000" w:rsidDel="00000000" w:rsidP="00000000" w:rsidRDefault="00000000" w:rsidRPr="00000000" w14:paraId="00000209">
                  <w:pPr>
                    <w:jc w:val="center"/>
                    <w:rPr>
                      <w:rFonts w:ascii="Times New Roman" w:cs="Times New Roman" w:eastAsia="Times New Roman" w:hAnsi="Times New Roman"/>
                      <w:sz w:val="16"/>
                      <w:szCs w:val="16"/>
                    </w:rPr>
                  </w:pPr>
                  <w:r w:rsidDel="00000000" w:rsidR="00000000" w:rsidRPr="00000000">
                    <w:rPr>
                      <w:rFonts w:ascii="Times New Roman" w:cs="Times New Roman" w:eastAsia="Times New Roman" w:hAnsi="Times New Roman"/>
                      <w:sz w:val="16"/>
                      <w:szCs w:val="16"/>
                      <w:rtl w:val="0"/>
                    </w:rPr>
                    <w:t xml:space="preserve">Año 7</w:t>
                  </w:r>
                </w:p>
              </w:tc>
              <w:tc>
                <w:tcPr>
                  <w:tcBorders>
                    <w:top w:color="000000" w:space="0" w:sz="0" w:val="nil"/>
                    <w:left w:color="000000" w:space="0" w:sz="0" w:val="nil"/>
                    <w:bottom w:color="000000" w:space="0" w:sz="0" w:val="nil"/>
                    <w:right w:color="000000" w:space="0" w:sz="0" w:val="nil"/>
                  </w:tcBorders>
                  <w:shd w:fill="ffffff" w:val="clear"/>
                  <w:vAlign w:val="center"/>
                </w:tcPr>
                <w:p w:rsidR="00000000" w:rsidDel="00000000" w:rsidP="00000000" w:rsidRDefault="00000000" w:rsidRPr="00000000" w14:paraId="0000020A">
                  <w:pPr>
                    <w:jc w:val="center"/>
                    <w:rPr>
                      <w:rFonts w:ascii="Times New Roman" w:cs="Times New Roman" w:eastAsia="Times New Roman" w:hAnsi="Times New Roman"/>
                      <w:sz w:val="16"/>
                      <w:szCs w:val="16"/>
                    </w:rPr>
                  </w:pPr>
                  <w:r w:rsidDel="00000000" w:rsidR="00000000" w:rsidRPr="00000000">
                    <w:rPr>
                      <w:rFonts w:ascii="Times New Roman" w:cs="Times New Roman" w:eastAsia="Times New Roman" w:hAnsi="Times New Roman"/>
                      <w:sz w:val="16"/>
                      <w:szCs w:val="16"/>
                      <w:rtl w:val="0"/>
                    </w:rPr>
                    <w:t xml:space="preserve"> </w:t>
                  </w:r>
                </w:p>
              </w:tc>
              <w:tc>
                <w:tcPr>
                  <w:tcBorders>
                    <w:top w:color="000000" w:space="0" w:sz="0" w:val="nil"/>
                    <w:left w:color="000000" w:space="0" w:sz="0" w:val="nil"/>
                    <w:bottom w:color="000000" w:space="0" w:sz="0" w:val="nil"/>
                    <w:right w:color="000000" w:space="0" w:sz="0" w:val="nil"/>
                  </w:tcBorders>
                  <w:shd w:fill="ffffff" w:val="clear"/>
                  <w:vAlign w:val="bottom"/>
                </w:tcPr>
                <w:p w:rsidR="00000000" w:rsidDel="00000000" w:rsidP="00000000" w:rsidRDefault="00000000" w:rsidRPr="00000000" w14:paraId="0000020B">
                  <w:pPr>
                    <w:jc w:val="center"/>
                    <w:rPr>
                      <w:rFonts w:ascii="Times New Roman" w:cs="Times New Roman" w:eastAsia="Times New Roman" w:hAnsi="Times New Roman"/>
                      <w:sz w:val="16"/>
                      <w:szCs w:val="16"/>
                    </w:rPr>
                  </w:pPr>
                  <w:r w:rsidDel="00000000" w:rsidR="00000000" w:rsidRPr="00000000">
                    <w:rPr>
                      <w:rFonts w:ascii="Times New Roman" w:cs="Times New Roman" w:eastAsia="Times New Roman" w:hAnsi="Times New Roman"/>
                      <w:sz w:val="16"/>
                      <w:szCs w:val="16"/>
                      <w:rtl w:val="0"/>
                    </w:rPr>
                    <w:t xml:space="preserve">Año 8</w:t>
                  </w:r>
                </w:p>
              </w:tc>
              <w:tc>
                <w:tcPr>
                  <w:tcBorders>
                    <w:top w:color="000000" w:space="0" w:sz="0" w:val="nil"/>
                    <w:left w:color="000000" w:space="0" w:sz="0" w:val="nil"/>
                    <w:bottom w:color="000000" w:space="0" w:sz="0" w:val="nil"/>
                    <w:right w:color="000000" w:space="0" w:sz="0" w:val="nil"/>
                  </w:tcBorders>
                  <w:shd w:fill="ffffff" w:val="clear"/>
                  <w:vAlign w:val="bottom"/>
                </w:tcPr>
                <w:p w:rsidR="00000000" w:rsidDel="00000000" w:rsidP="00000000" w:rsidRDefault="00000000" w:rsidRPr="00000000" w14:paraId="0000020C">
                  <w:pPr>
                    <w:jc w:val="center"/>
                    <w:rPr>
                      <w:rFonts w:ascii="Times New Roman" w:cs="Times New Roman" w:eastAsia="Times New Roman" w:hAnsi="Times New Roman"/>
                      <w:sz w:val="16"/>
                      <w:szCs w:val="16"/>
                    </w:rPr>
                  </w:pPr>
                  <w:r w:rsidDel="00000000" w:rsidR="00000000" w:rsidRPr="00000000">
                    <w:rPr>
                      <w:rFonts w:ascii="Times New Roman" w:cs="Times New Roman" w:eastAsia="Times New Roman" w:hAnsi="Times New Roman"/>
                      <w:sz w:val="16"/>
                      <w:szCs w:val="16"/>
                      <w:rtl w:val="0"/>
                    </w:rPr>
                    <w:t xml:space="preserve"> </w:t>
                  </w:r>
                </w:p>
              </w:tc>
              <w:tc>
                <w:tcPr>
                  <w:tcBorders>
                    <w:top w:color="000000" w:space="0" w:sz="0" w:val="nil"/>
                    <w:left w:color="000000" w:space="0" w:sz="0" w:val="nil"/>
                    <w:bottom w:color="000000" w:space="0" w:sz="0" w:val="nil"/>
                    <w:right w:color="000000" w:space="0" w:sz="0" w:val="nil"/>
                  </w:tcBorders>
                  <w:shd w:fill="ffffff" w:val="clear"/>
                  <w:vAlign w:val="bottom"/>
                </w:tcPr>
                <w:p w:rsidR="00000000" w:rsidDel="00000000" w:rsidP="00000000" w:rsidRDefault="00000000" w:rsidRPr="00000000" w14:paraId="0000020D">
                  <w:pPr>
                    <w:jc w:val="center"/>
                    <w:rPr>
                      <w:rFonts w:ascii="Times New Roman" w:cs="Times New Roman" w:eastAsia="Times New Roman" w:hAnsi="Times New Roman"/>
                      <w:sz w:val="16"/>
                      <w:szCs w:val="16"/>
                    </w:rPr>
                  </w:pPr>
                  <w:r w:rsidDel="00000000" w:rsidR="00000000" w:rsidRPr="00000000">
                    <w:rPr>
                      <w:rFonts w:ascii="Times New Roman" w:cs="Times New Roman" w:eastAsia="Times New Roman" w:hAnsi="Times New Roman"/>
                      <w:sz w:val="16"/>
                      <w:szCs w:val="16"/>
                      <w:rtl w:val="0"/>
                    </w:rPr>
                    <w:t xml:space="preserve">Año 9</w:t>
                  </w:r>
                </w:p>
              </w:tc>
              <w:tc>
                <w:tcPr>
                  <w:tcBorders>
                    <w:top w:color="000000" w:space="0" w:sz="0" w:val="nil"/>
                    <w:left w:color="000000" w:space="0" w:sz="0" w:val="nil"/>
                    <w:bottom w:color="000000" w:space="0" w:sz="0" w:val="nil"/>
                    <w:right w:color="000000" w:space="0" w:sz="0" w:val="nil"/>
                  </w:tcBorders>
                  <w:shd w:fill="ffffff" w:val="clear"/>
                  <w:vAlign w:val="center"/>
                </w:tcPr>
                <w:p w:rsidR="00000000" w:rsidDel="00000000" w:rsidP="00000000" w:rsidRDefault="00000000" w:rsidRPr="00000000" w14:paraId="0000020E">
                  <w:pPr>
                    <w:jc w:val="center"/>
                    <w:rPr>
                      <w:rFonts w:ascii="Times New Roman" w:cs="Times New Roman" w:eastAsia="Times New Roman" w:hAnsi="Times New Roman"/>
                      <w:sz w:val="16"/>
                      <w:szCs w:val="16"/>
                    </w:rPr>
                  </w:pPr>
                  <w:r w:rsidDel="00000000" w:rsidR="00000000" w:rsidRPr="00000000">
                    <w:rPr>
                      <w:rFonts w:ascii="Times New Roman" w:cs="Times New Roman" w:eastAsia="Times New Roman" w:hAnsi="Times New Roman"/>
                      <w:sz w:val="16"/>
                      <w:szCs w:val="16"/>
                      <w:rtl w:val="0"/>
                    </w:rPr>
                    <w:t xml:space="preserve"> </w:t>
                  </w:r>
                </w:p>
              </w:tc>
              <w:tc>
                <w:tcPr>
                  <w:tcBorders>
                    <w:top w:color="000000" w:space="0" w:sz="0" w:val="nil"/>
                    <w:left w:color="000000" w:space="0" w:sz="0" w:val="nil"/>
                    <w:bottom w:color="000000" w:space="0" w:sz="0" w:val="nil"/>
                    <w:right w:color="000000" w:space="0" w:sz="0" w:val="nil"/>
                  </w:tcBorders>
                  <w:shd w:fill="ffffff" w:val="clear"/>
                  <w:vAlign w:val="center"/>
                </w:tcPr>
                <w:p w:rsidR="00000000" w:rsidDel="00000000" w:rsidP="00000000" w:rsidRDefault="00000000" w:rsidRPr="00000000" w14:paraId="0000020F">
                  <w:pPr>
                    <w:jc w:val="center"/>
                    <w:rPr>
                      <w:rFonts w:ascii="Times New Roman" w:cs="Times New Roman" w:eastAsia="Times New Roman" w:hAnsi="Times New Roman"/>
                      <w:sz w:val="16"/>
                      <w:szCs w:val="16"/>
                    </w:rPr>
                  </w:pPr>
                  <w:r w:rsidDel="00000000" w:rsidR="00000000" w:rsidRPr="00000000">
                    <w:rPr>
                      <w:rFonts w:ascii="Times New Roman" w:cs="Times New Roman" w:eastAsia="Times New Roman" w:hAnsi="Times New Roman"/>
                      <w:sz w:val="16"/>
                      <w:szCs w:val="16"/>
                      <w:rtl w:val="0"/>
                    </w:rPr>
                    <w:t xml:space="preserve">Año 10</w:t>
                  </w:r>
                </w:p>
              </w:tc>
              <w:tc>
                <w:tcPr>
                  <w:tcBorders>
                    <w:top w:color="000000" w:space="0" w:sz="0" w:val="nil"/>
                    <w:left w:color="000000" w:space="0" w:sz="0" w:val="nil"/>
                    <w:bottom w:color="000000" w:space="0" w:sz="0" w:val="nil"/>
                    <w:right w:color="000000" w:space="0" w:sz="8" w:val="single"/>
                  </w:tcBorders>
                  <w:shd w:fill="ffffff" w:val="clear"/>
                  <w:vAlign w:val="center"/>
                </w:tcPr>
                <w:p w:rsidR="00000000" w:rsidDel="00000000" w:rsidP="00000000" w:rsidRDefault="00000000" w:rsidRPr="00000000" w14:paraId="00000210">
                  <w:pPr>
                    <w:rPr>
                      <w:rFonts w:ascii="Times New Roman" w:cs="Times New Roman" w:eastAsia="Times New Roman" w:hAnsi="Times New Roman"/>
                      <w:sz w:val="16"/>
                      <w:szCs w:val="16"/>
                    </w:rPr>
                  </w:pPr>
                  <w:r w:rsidDel="00000000" w:rsidR="00000000" w:rsidRPr="00000000">
                    <w:rPr>
                      <w:rFonts w:ascii="Times New Roman" w:cs="Times New Roman" w:eastAsia="Times New Roman" w:hAnsi="Times New Roman"/>
                      <w:sz w:val="16"/>
                      <w:szCs w:val="16"/>
                      <w:rtl w:val="0"/>
                    </w:rPr>
                    <w:t xml:space="preserve"> </w:t>
                  </w:r>
                </w:p>
              </w:tc>
            </w:tr>
            <w:tr>
              <w:trPr>
                <w:cantSplit w:val="0"/>
                <w:trHeight w:val="315" w:hRule="atLeast"/>
                <w:tblHeader w:val="0"/>
              </w:trPr>
              <w:tc>
                <w:tcPr>
                  <w:tcBorders>
                    <w:top w:color="000000" w:space="0" w:sz="0" w:val="nil"/>
                    <w:left w:color="000000" w:space="0" w:sz="0" w:val="nil"/>
                    <w:bottom w:color="000000" w:space="0" w:sz="0" w:val="nil"/>
                    <w:right w:color="000000" w:space="0" w:sz="0" w:val="nil"/>
                  </w:tcBorders>
                  <w:shd w:fill="ffffff" w:val="clear"/>
                  <w:vAlign w:val="center"/>
                </w:tcPr>
                <w:p w:rsidR="00000000" w:rsidDel="00000000" w:rsidP="00000000" w:rsidRDefault="00000000" w:rsidRPr="00000000" w14:paraId="00000211">
                  <w:pPr>
                    <w:jc w:val="right"/>
                    <w:rPr>
                      <w:rFonts w:ascii="Times New Roman" w:cs="Times New Roman" w:eastAsia="Times New Roman" w:hAnsi="Times New Roman"/>
                      <w:sz w:val="16"/>
                      <w:szCs w:val="16"/>
                    </w:rPr>
                  </w:pPr>
                  <w:r w:rsidDel="00000000" w:rsidR="00000000" w:rsidRPr="00000000">
                    <w:rPr>
                      <w:rFonts w:ascii="Times New Roman" w:cs="Times New Roman" w:eastAsia="Times New Roman" w:hAnsi="Times New Roman"/>
                      <w:sz w:val="16"/>
                      <w:szCs w:val="16"/>
                      <w:rtl w:val="0"/>
                    </w:rPr>
                    <w:t xml:space="preserve"> </w:t>
                  </w:r>
                </w:p>
              </w:tc>
              <w:tc>
                <w:tcPr>
                  <w:tcBorders>
                    <w:top w:color="000000" w:space="0" w:sz="4" w:val="single"/>
                    <w:left w:color="000000" w:space="0" w:sz="4" w:val="single"/>
                    <w:bottom w:color="000000" w:space="0" w:sz="4" w:val="single"/>
                    <w:right w:color="000000" w:space="0" w:sz="0" w:val="nil"/>
                  </w:tcBorders>
                  <w:shd w:fill="ffffff" w:val="clear"/>
                  <w:vAlign w:val="center"/>
                </w:tcPr>
                <w:p w:rsidR="00000000" w:rsidDel="00000000" w:rsidP="00000000" w:rsidRDefault="00000000" w:rsidRPr="00000000" w14:paraId="00000212">
                  <w:pPr>
                    <w:jc w:val="center"/>
                    <w:rPr>
                      <w:rFonts w:ascii="Times New Roman" w:cs="Times New Roman" w:eastAsia="Times New Roman" w:hAnsi="Times New Roman"/>
                      <w:sz w:val="16"/>
                      <w:szCs w:val="16"/>
                    </w:rPr>
                  </w:pPr>
                  <w:r w:rsidDel="00000000" w:rsidR="00000000" w:rsidRPr="00000000">
                    <w:rPr>
                      <w:rFonts w:ascii="Times New Roman" w:cs="Times New Roman" w:eastAsia="Times New Roman" w:hAnsi="Times New Roman"/>
                      <w:sz w:val="16"/>
                      <w:szCs w:val="16"/>
                      <w:rtl w:val="0"/>
                    </w:rPr>
                    <w:t xml:space="preserve">0</w:t>
                  </w:r>
                </w:p>
              </w:tc>
              <w:tc>
                <w:tcPr>
                  <w:tcBorders>
                    <w:top w:color="000000" w:space="0" w:sz="4" w:val="single"/>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213">
                  <w:pPr>
                    <w:jc w:val="center"/>
                    <w:rPr>
                      <w:rFonts w:ascii="Times New Roman" w:cs="Times New Roman" w:eastAsia="Times New Roman" w:hAnsi="Times New Roman"/>
                      <w:sz w:val="16"/>
                      <w:szCs w:val="16"/>
                    </w:rPr>
                  </w:pPr>
                  <w:r w:rsidDel="00000000" w:rsidR="00000000" w:rsidRPr="00000000">
                    <w:rPr>
                      <w:rFonts w:ascii="Times New Roman" w:cs="Times New Roman" w:eastAsia="Times New Roman" w:hAnsi="Times New Roman"/>
                      <w:sz w:val="16"/>
                      <w:szCs w:val="16"/>
                      <w:rtl w:val="0"/>
                    </w:rPr>
                    <w:t xml:space="preserve"> </w:t>
                  </w:r>
                </w:p>
              </w:tc>
              <w:tc>
                <w:tcPr>
                  <w:tcBorders>
                    <w:top w:color="000000" w:space="0" w:sz="4" w:val="single"/>
                    <w:left w:color="000000" w:space="0" w:sz="0" w:val="nil"/>
                    <w:bottom w:color="000000" w:space="0" w:sz="4" w:val="single"/>
                    <w:right w:color="000000" w:space="0" w:sz="0" w:val="nil"/>
                  </w:tcBorders>
                  <w:shd w:fill="ffffff" w:val="clear"/>
                  <w:vAlign w:val="center"/>
                </w:tcPr>
                <w:p w:rsidR="00000000" w:rsidDel="00000000" w:rsidP="00000000" w:rsidRDefault="00000000" w:rsidRPr="00000000" w14:paraId="00000214">
                  <w:pPr>
                    <w:jc w:val="center"/>
                    <w:rPr>
                      <w:rFonts w:ascii="Times New Roman" w:cs="Times New Roman" w:eastAsia="Times New Roman" w:hAnsi="Times New Roman"/>
                      <w:sz w:val="16"/>
                      <w:szCs w:val="16"/>
                    </w:rPr>
                  </w:pPr>
                  <w:r w:rsidDel="00000000" w:rsidR="00000000" w:rsidRPr="00000000">
                    <w:rPr>
                      <w:rFonts w:ascii="Times New Roman" w:cs="Times New Roman" w:eastAsia="Times New Roman" w:hAnsi="Times New Roman"/>
                      <w:sz w:val="16"/>
                      <w:szCs w:val="16"/>
                      <w:rtl w:val="0"/>
                    </w:rPr>
                    <w:t xml:space="preserve"> 0</w:t>
                  </w:r>
                </w:p>
              </w:tc>
              <w:tc>
                <w:tcPr>
                  <w:tcBorders>
                    <w:top w:color="000000" w:space="0" w:sz="4" w:val="single"/>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215">
                  <w:pPr>
                    <w:jc w:val="center"/>
                    <w:rPr>
                      <w:rFonts w:ascii="Times New Roman" w:cs="Times New Roman" w:eastAsia="Times New Roman" w:hAnsi="Times New Roman"/>
                      <w:sz w:val="16"/>
                      <w:szCs w:val="16"/>
                    </w:rPr>
                  </w:pPr>
                  <w:r w:rsidDel="00000000" w:rsidR="00000000" w:rsidRPr="00000000">
                    <w:rPr>
                      <w:rFonts w:ascii="Times New Roman" w:cs="Times New Roman" w:eastAsia="Times New Roman" w:hAnsi="Times New Roman"/>
                      <w:sz w:val="16"/>
                      <w:szCs w:val="16"/>
                      <w:rtl w:val="0"/>
                    </w:rPr>
                    <w:t xml:space="preserve"> </w:t>
                  </w:r>
                </w:p>
              </w:tc>
              <w:tc>
                <w:tcPr>
                  <w:tcBorders>
                    <w:top w:color="000000" w:space="0" w:sz="4" w:val="single"/>
                    <w:left w:color="000000" w:space="0" w:sz="0" w:val="nil"/>
                    <w:bottom w:color="000000" w:space="0" w:sz="4" w:val="single"/>
                    <w:right w:color="000000" w:space="0" w:sz="0" w:val="nil"/>
                  </w:tcBorders>
                  <w:shd w:fill="ffffff" w:val="clear"/>
                  <w:vAlign w:val="center"/>
                </w:tcPr>
                <w:p w:rsidR="00000000" w:rsidDel="00000000" w:rsidP="00000000" w:rsidRDefault="00000000" w:rsidRPr="00000000" w14:paraId="00000216">
                  <w:pPr>
                    <w:jc w:val="center"/>
                    <w:rPr>
                      <w:rFonts w:ascii="Times New Roman" w:cs="Times New Roman" w:eastAsia="Times New Roman" w:hAnsi="Times New Roman"/>
                      <w:sz w:val="16"/>
                      <w:szCs w:val="16"/>
                    </w:rPr>
                  </w:pPr>
                  <w:r w:rsidDel="00000000" w:rsidR="00000000" w:rsidRPr="00000000">
                    <w:rPr>
                      <w:rFonts w:ascii="Times New Roman" w:cs="Times New Roman" w:eastAsia="Times New Roman" w:hAnsi="Times New Roman"/>
                      <w:sz w:val="16"/>
                      <w:szCs w:val="16"/>
                      <w:rtl w:val="0"/>
                    </w:rPr>
                    <w:t xml:space="preserve"> 0</w:t>
                  </w:r>
                </w:p>
              </w:tc>
              <w:tc>
                <w:tcPr>
                  <w:tcBorders>
                    <w:top w:color="000000" w:space="0" w:sz="4" w:val="single"/>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217">
                  <w:pPr>
                    <w:jc w:val="center"/>
                    <w:rPr>
                      <w:rFonts w:ascii="Times New Roman" w:cs="Times New Roman" w:eastAsia="Times New Roman" w:hAnsi="Times New Roman"/>
                      <w:sz w:val="16"/>
                      <w:szCs w:val="16"/>
                    </w:rPr>
                  </w:pPr>
                  <w:r w:rsidDel="00000000" w:rsidR="00000000" w:rsidRPr="00000000">
                    <w:rPr>
                      <w:rFonts w:ascii="Times New Roman" w:cs="Times New Roman" w:eastAsia="Times New Roman" w:hAnsi="Times New Roman"/>
                      <w:sz w:val="16"/>
                      <w:szCs w:val="16"/>
                      <w:rtl w:val="0"/>
                    </w:rPr>
                    <w:t xml:space="preserve"> </w:t>
                  </w:r>
                </w:p>
              </w:tc>
              <w:tc>
                <w:tcPr>
                  <w:tcBorders>
                    <w:top w:color="000000" w:space="0" w:sz="4" w:val="single"/>
                    <w:left w:color="000000" w:space="0" w:sz="0" w:val="nil"/>
                    <w:bottom w:color="000000" w:space="0" w:sz="4" w:val="single"/>
                    <w:right w:color="000000" w:space="0" w:sz="0" w:val="nil"/>
                  </w:tcBorders>
                  <w:shd w:fill="ffffff" w:val="clear"/>
                  <w:vAlign w:val="center"/>
                </w:tcPr>
                <w:p w:rsidR="00000000" w:rsidDel="00000000" w:rsidP="00000000" w:rsidRDefault="00000000" w:rsidRPr="00000000" w14:paraId="00000218">
                  <w:pPr>
                    <w:jc w:val="center"/>
                    <w:rPr>
                      <w:rFonts w:ascii="Times New Roman" w:cs="Times New Roman" w:eastAsia="Times New Roman" w:hAnsi="Times New Roman"/>
                      <w:sz w:val="16"/>
                      <w:szCs w:val="16"/>
                    </w:rPr>
                  </w:pPr>
                  <w:r w:rsidDel="00000000" w:rsidR="00000000" w:rsidRPr="00000000">
                    <w:rPr>
                      <w:rFonts w:ascii="Times New Roman" w:cs="Times New Roman" w:eastAsia="Times New Roman" w:hAnsi="Times New Roman"/>
                      <w:sz w:val="16"/>
                      <w:szCs w:val="16"/>
                      <w:rtl w:val="0"/>
                    </w:rPr>
                    <w:t xml:space="preserve">0</w:t>
                  </w:r>
                </w:p>
              </w:tc>
              <w:tc>
                <w:tcPr>
                  <w:tcBorders>
                    <w:top w:color="000000" w:space="0" w:sz="4" w:val="single"/>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219">
                  <w:pPr>
                    <w:jc w:val="center"/>
                    <w:rPr>
                      <w:rFonts w:ascii="Times New Roman" w:cs="Times New Roman" w:eastAsia="Times New Roman" w:hAnsi="Times New Roman"/>
                      <w:sz w:val="16"/>
                      <w:szCs w:val="16"/>
                    </w:rPr>
                  </w:pPr>
                  <w:r w:rsidDel="00000000" w:rsidR="00000000" w:rsidRPr="00000000">
                    <w:rPr>
                      <w:rFonts w:ascii="Times New Roman" w:cs="Times New Roman" w:eastAsia="Times New Roman" w:hAnsi="Times New Roman"/>
                      <w:sz w:val="16"/>
                      <w:szCs w:val="16"/>
                      <w:rtl w:val="0"/>
                    </w:rPr>
                    <w:t xml:space="preserve"> </w:t>
                  </w:r>
                </w:p>
              </w:tc>
              <w:tc>
                <w:tcPr>
                  <w:tcBorders>
                    <w:top w:color="000000" w:space="0" w:sz="4" w:val="single"/>
                    <w:left w:color="000000" w:space="0" w:sz="0" w:val="nil"/>
                    <w:bottom w:color="000000" w:space="0" w:sz="4" w:val="single"/>
                    <w:right w:color="000000" w:space="0" w:sz="0" w:val="nil"/>
                  </w:tcBorders>
                  <w:shd w:fill="ffffff" w:val="clear"/>
                  <w:vAlign w:val="center"/>
                </w:tcPr>
                <w:p w:rsidR="00000000" w:rsidDel="00000000" w:rsidP="00000000" w:rsidRDefault="00000000" w:rsidRPr="00000000" w14:paraId="0000021A">
                  <w:pPr>
                    <w:jc w:val="center"/>
                    <w:rPr>
                      <w:rFonts w:ascii="Times New Roman" w:cs="Times New Roman" w:eastAsia="Times New Roman" w:hAnsi="Times New Roman"/>
                      <w:sz w:val="16"/>
                      <w:szCs w:val="16"/>
                    </w:rPr>
                  </w:pPr>
                  <w:r w:rsidDel="00000000" w:rsidR="00000000" w:rsidRPr="00000000">
                    <w:rPr>
                      <w:rFonts w:ascii="Times New Roman" w:cs="Times New Roman" w:eastAsia="Times New Roman" w:hAnsi="Times New Roman"/>
                      <w:sz w:val="16"/>
                      <w:szCs w:val="16"/>
                      <w:rtl w:val="0"/>
                    </w:rPr>
                    <w:t xml:space="preserve">0</w:t>
                  </w:r>
                </w:p>
              </w:tc>
              <w:tc>
                <w:tcPr>
                  <w:tcBorders>
                    <w:top w:color="000000" w:space="0" w:sz="4" w:val="single"/>
                    <w:left w:color="000000" w:space="0" w:sz="0" w:val="nil"/>
                    <w:bottom w:color="000000" w:space="0" w:sz="4" w:val="single"/>
                    <w:right w:color="000000" w:space="0" w:sz="8" w:val="single"/>
                  </w:tcBorders>
                  <w:shd w:fill="ffffff" w:val="clear"/>
                  <w:vAlign w:val="center"/>
                </w:tcPr>
                <w:p w:rsidR="00000000" w:rsidDel="00000000" w:rsidP="00000000" w:rsidRDefault="00000000" w:rsidRPr="00000000" w14:paraId="0000021B">
                  <w:pPr>
                    <w:jc w:val="center"/>
                    <w:rPr>
                      <w:rFonts w:ascii="Times New Roman" w:cs="Times New Roman" w:eastAsia="Times New Roman" w:hAnsi="Times New Roman"/>
                      <w:sz w:val="16"/>
                      <w:szCs w:val="16"/>
                    </w:rPr>
                  </w:pPr>
                  <w:r w:rsidDel="00000000" w:rsidR="00000000" w:rsidRPr="00000000">
                    <w:rPr>
                      <w:rFonts w:ascii="Times New Roman" w:cs="Times New Roman" w:eastAsia="Times New Roman" w:hAnsi="Times New Roman"/>
                      <w:sz w:val="16"/>
                      <w:szCs w:val="16"/>
                      <w:rtl w:val="0"/>
                    </w:rPr>
                    <w:t xml:space="preserve"> </w:t>
                  </w:r>
                </w:p>
              </w:tc>
            </w:tr>
            <w:tr>
              <w:trPr>
                <w:cantSplit w:val="0"/>
                <w:trHeight w:val="315" w:hRule="atLeast"/>
                <w:tblHeader w:val="0"/>
              </w:trPr>
              <w:tc>
                <w:tcPr>
                  <w:tcBorders>
                    <w:top w:color="000000" w:space="0" w:sz="0" w:val="nil"/>
                    <w:left w:color="000000" w:space="0" w:sz="0" w:val="nil"/>
                    <w:bottom w:color="000000" w:space="0" w:sz="0" w:val="nil"/>
                    <w:right w:color="000000" w:space="0" w:sz="0" w:val="nil"/>
                  </w:tcBorders>
                  <w:shd w:fill="ffffff" w:val="clear"/>
                  <w:vAlign w:val="center"/>
                </w:tcPr>
                <w:p w:rsidR="00000000" w:rsidDel="00000000" w:rsidP="00000000" w:rsidRDefault="00000000" w:rsidRPr="00000000" w14:paraId="0000021C">
                  <w:pPr>
                    <w:jc w:val="right"/>
                    <w:rPr>
                      <w:rFonts w:ascii="Times New Roman" w:cs="Times New Roman" w:eastAsia="Times New Roman" w:hAnsi="Times New Roman"/>
                      <w:sz w:val="16"/>
                      <w:szCs w:val="16"/>
                    </w:rPr>
                  </w:pPr>
                  <w:r w:rsidDel="00000000" w:rsidR="00000000" w:rsidRPr="00000000">
                    <w:rPr>
                      <w:rFonts w:ascii="Times New Roman" w:cs="Times New Roman" w:eastAsia="Times New Roman" w:hAnsi="Times New Roman"/>
                      <w:sz w:val="16"/>
                      <w:szCs w:val="16"/>
                      <w:rtl w:val="0"/>
                    </w:rPr>
                    <w:t xml:space="preserve"> </w:t>
                  </w:r>
                </w:p>
              </w:tc>
              <w:tc>
                <w:tcPr>
                  <w:tcBorders>
                    <w:top w:color="000000" w:space="0" w:sz="0" w:val="nil"/>
                    <w:left w:color="000000" w:space="0" w:sz="0" w:val="nil"/>
                    <w:bottom w:color="000000" w:space="0" w:sz="0" w:val="nil"/>
                    <w:right w:color="000000" w:space="0" w:sz="0" w:val="nil"/>
                  </w:tcBorders>
                  <w:shd w:fill="ffffff" w:val="clear"/>
                  <w:vAlign w:val="center"/>
                </w:tcPr>
                <w:p w:rsidR="00000000" w:rsidDel="00000000" w:rsidP="00000000" w:rsidRDefault="00000000" w:rsidRPr="00000000" w14:paraId="0000021D">
                  <w:pPr>
                    <w:jc w:val="center"/>
                    <w:rPr>
                      <w:rFonts w:ascii="Times New Roman" w:cs="Times New Roman" w:eastAsia="Times New Roman" w:hAnsi="Times New Roman"/>
                      <w:sz w:val="16"/>
                      <w:szCs w:val="16"/>
                    </w:rPr>
                  </w:pPr>
                  <w:r w:rsidDel="00000000" w:rsidR="00000000" w:rsidRPr="00000000">
                    <w:rPr>
                      <w:rFonts w:ascii="Times New Roman" w:cs="Times New Roman" w:eastAsia="Times New Roman" w:hAnsi="Times New Roman"/>
                      <w:sz w:val="16"/>
                      <w:szCs w:val="16"/>
                      <w:rtl w:val="0"/>
                    </w:rPr>
                    <w:t xml:space="preserve">Año 11</w:t>
                  </w:r>
                </w:p>
              </w:tc>
              <w:tc>
                <w:tcPr>
                  <w:tcBorders>
                    <w:top w:color="000000" w:space="0" w:sz="0" w:val="nil"/>
                    <w:left w:color="000000" w:space="0" w:sz="0" w:val="nil"/>
                    <w:bottom w:color="000000" w:space="0" w:sz="0" w:val="nil"/>
                    <w:right w:color="000000" w:space="0" w:sz="0" w:val="nil"/>
                  </w:tcBorders>
                  <w:shd w:fill="ffffff" w:val="clear"/>
                  <w:vAlign w:val="center"/>
                </w:tcPr>
                <w:p w:rsidR="00000000" w:rsidDel="00000000" w:rsidP="00000000" w:rsidRDefault="00000000" w:rsidRPr="00000000" w14:paraId="0000021E">
                  <w:pPr>
                    <w:jc w:val="center"/>
                    <w:rPr>
                      <w:rFonts w:ascii="Times New Roman" w:cs="Times New Roman" w:eastAsia="Times New Roman" w:hAnsi="Times New Roman"/>
                      <w:sz w:val="16"/>
                      <w:szCs w:val="16"/>
                    </w:rPr>
                  </w:pPr>
                  <w:r w:rsidDel="00000000" w:rsidR="00000000" w:rsidRPr="00000000">
                    <w:rPr>
                      <w:rFonts w:ascii="Times New Roman" w:cs="Times New Roman" w:eastAsia="Times New Roman" w:hAnsi="Times New Roman"/>
                      <w:sz w:val="16"/>
                      <w:szCs w:val="16"/>
                      <w:rtl w:val="0"/>
                    </w:rPr>
                    <w:t xml:space="preserve"> </w:t>
                  </w:r>
                </w:p>
              </w:tc>
              <w:tc>
                <w:tcPr>
                  <w:tcBorders>
                    <w:top w:color="000000" w:space="0" w:sz="0" w:val="nil"/>
                    <w:left w:color="000000" w:space="0" w:sz="0" w:val="nil"/>
                    <w:bottom w:color="000000" w:space="0" w:sz="0" w:val="nil"/>
                    <w:right w:color="000000" w:space="0" w:sz="0" w:val="nil"/>
                  </w:tcBorders>
                  <w:shd w:fill="ffffff" w:val="clear"/>
                  <w:vAlign w:val="center"/>
                </w:tcPr>
                <w:p w:rsidR="00000000" w:rsidDel="00000000" w:rsidP="00000000" w:rsidRDefault="00000000" w:rsidRPr="00000000" w14:paraId="0000021F">
                  <w:pPr>
                    <w:jc w:val="center"/>
                    <w:rPr>
                      <w:rFonts w:ascii="Times New Roman" w:cs="Times New Roman" w:eastAsia="Times New Roman" w:hAnsi="Times New Roman"/>
                      <w:sz w:val="16"/>
                      <w:szCs w:val="16"/>
                    </w:rPr>
                  </w:pPr>
                  <w:r w:rsidDel="00000000" w:rsidR="00000000" w:rsidRPr="00000000">
                    <w:rPr>
                      <w:rFonts w:ascii="Times New Roman" w:cs="Times New Roman" w:eastAsia="Times New Roman" w:hAnsi="Times New Roman"/>
                      <w:sz w:val="16"/>
                      <w:szCs w:val="16"/>
                      <w:rtl w:val="0"/>
                    </w:rPr>
                    <w:t xml:space="preserve">Año 12</w:t>
                  </w:r>
                </w:p>
              </w:tc>
              <w:tc>
                <w:tcPr>
                  <w:tcBorders>
                    <w:top w:color="000000" w:space="0" w:sz="0" w:val="nil"/>
                    <w:left w:color="000000" w:space="0" w:sz="0" w:val="nil"/>
                    <w:bottom w:color="000000" w:space="0" w:sz="0" w:val="nil"/>
                    <w:right w:color="000000" w:space="0" w:sz="0" w:val="nil"/>
                  </w:tcBorders>
                  <w:shd w:fill="ffffff" w:val="clear"/>
                  <w:vAlign w:val="center"/>
                </w:tcPr>
                <w:p w:rsidR="00000000" w:rsidDel="00000000" w:rsidP="00000000" w:rsidRDefault="00000000" w:rsidRPr="00000000" w14:paraId="00000220">
                  <w:pPr>
                    <w:jc w:val="center"/>
                    <w:rPr>
                      <w:rFonts w:ascii="Times New Roman" w:cs="Times New Roman" w:eastAsia="Times New Roman" w:hAnsi="Times New Roman"/>
                      <w:sz w:val="16"/>
                      <w:szCs w:val="16"/>
                    </w:rPr>
                  </w:pPr>
                  <w:r w:rsidDel="00000000" w:rsidR="00000000" w:rsidRPr="00000000">
                    <w:rPr>
                      <w:rFonts w:ascii="Times New Roman" w:cs="Times New Roman" w:eastAsia="Times New Roman" w:hAnsi="Times New Roman"/>
                      <w:sz w:val="16"/>
                      <w:szCs w:val="16"/>
                      <w:rtl w:val="0"/>
                    </w:rPr>
                    <w:t xml:space="preserve"> </w:t>
                  </w:r>
                </w:p>
              </w:tc>
              <w:tc>
                <w:tcPr>
                  <w:tcBorders>
                    <w:top w:color="000000" w:space="0" w:sz="0" w:val="nil"/>
                    <w:left w:color="000000" w:space="0" w:sz="0" w:val="nil"/>
                    <w:bottom w:color="000000" w:space="0" w:sz="0" w:val="nil"/>
                    <w:right w:color="000000" w:space="0" w:sz="0" w:val="nil"/>
                  </w:tcBorders>
                  <w:shd w:fill="ffffff" w:val="clear"/>
                  <w:vAlign w:val="bottom"/>
                </w:tcPr>
                <w:p w:rsidR="00000000" w:rsidDel="00000000" w:rsidP="00000000" w:rsidRDefault="00000000" w:rsidRPr="00000000" w14:paraId="00000221">
                  <w:pPr>
                    <w:jc w:val="center"/>
                    <w:rPr>
                      <w:rFonts w:ascii="Times New Roman" w:cs="Times New Roman" w:eastAsia="Times New Roman" w:hAnsi="Times New Roman"/>
                      <w:sz w:val="16"/>
                      <w:szCs w:val="16"/>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fffff" w:val="clear"/>
                  <w:vAlign w:val="bottom"/>
                </w:tcPr>
                <w:p w:rsidR="00000000" w:rsidDel="00000000" w:rsidP="00000000" w:rsidRDefault="00000000" w:rsidRPr="00000000" w14:paraId="00000222">
                  <w:pPr>
                    <w:jc w:val="center"/>
                    <w:rPr>
                      <w:rFonts w:ascii="Times New Roman" w:cs="Times New Roman" w:eastAsia="Times New Roman" w:hAnsi="Times New Roman"/>
                      <w:sz w:val="16"/>
                      <w:szCs w:val="16"/>
                    </w:rPr>
                  </w:pPr>
                  <w:r w:rsidDel="00000000" w:rsidR="00000000" w:rsidRPr="00000000">
                    <w:rPr>
                      <w:rFonts w:ascii="Times New Roman" w:cs="Times New Roman" w:eastAsia="Times New Roman" w:hAnsi="Times New Roman"/>
                      <w:sz w:val="16"/>
                      <w:szCs w:val="16"/>
                      <w:rtl w:val="0"/>
                    </w:rPr>
                    <w:t xml:space="preserve"> </w:t>
                  </w:r>
                </w:p>
              </w:tc>
              <w:tc>
                <w:tcPr>
                  <w:tcBorders>
                    <w:top w:color="000000" w:space="0" w:sz="0" w:val="nil"/>
                    <w:left w:color="000000" w:space="0" w:sz="0" w:val="nil"/>
                    <w:bottom w:color="000000" w:space="0" w:sz="0" w:val="nil"/>
                    <w:right w:color="000000" w:space="0" w:sz="0" w:val="nil"/>
                  </w:tcBorders>
                  <w:shd w:fill="ffffff" w:val="clear"/>
                  <w:vAlign w:val="bottom"/>
                </w:tcPr>
                <w:p w:rsidR="00000000" w:rsidDel="00000000" w:rsidP="00000000" w:rsidRDefault="00000000" w:rsidRPr="00000000" w14:paraId="00000223">
                  <w:pPr>
                    <w:jc w:val="center"/>
                    <w:rPr>
                      <w:rFonts w:ascii="Times New Roman" w:cs="Times New Roman" w:eastAsia="Times New Roman" w:hAnsi="Times New Roman"/>
                      <w:sz w:val="16"/>
                      <w:szCs w:val="16"/>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fffff" w:val="clear"/>
                  <w:vAlign w:val="center"/>
                </w:tcPr>
                <w:p w:rsidR="00000000" w:rsidDel="00000000" w:rsidP="00000000" w:rsidRDefault="00000000" w:rsidRPr="00000000" w14:paraId="00000224">
                  <w:pPr>
                    <w:jc w:val="center"/>
                    <w:rPr>
                      <w:rFonts w:ascii="Times New Roman" w:cs="Times New Roman" w:eastAsia="Times New Roman" w:hAnsi="Times New Roman"/>
                      <w:sz w:val="16"/>
                      <w:szCs w:val="16"/>
                    </w:rPr>
                  </w:pPr>
                  <w:r w:rsidDel="00000000" w:rsidR="00000000" w:rsidRPr="00000000">
                    <w:rPr>
                      <w:rFonts w:ascii="Times New Roman" w:cs="Times New Roman" w:eastAsia="Times New Roman" w:hAnsi="Times New Roman"/>
                      <w:sz w:val="16"/>
                      <w:szCs w:val="16"/>
                      <w:rtl w:val="0"/>
                    </w:rPr>
                    <w:t xml:space="preserve"> </w:t>
                  </w:r>
                </w:p>
              </w:tc>
              <w:tc>
                <w:tcPr>
                  <w:tcBorders>
                    <w:top w:color="000000" w:space="0" w:sz="0" w:val="nil"/>
                    <w:left w:color="000000" w:space="0" w:sz="0" w:val="nil"/>
                    <w:bottom w:color="000000" w:space="0" w:sz="0" w:val="nil"/>
                    <w:right w:color="000000" w:space="0" w:sz="0" w:val="nil"/>
                  </w:tcBorders>
                  <w:shd w:fill="ffffff" w:val="clear"/>
                  <w:vAlign w:val="center"/>
                </w:tcPr>
                <w:p w:rsidR="00000000" w:rsidDel="00000000" w:rsidP="00000000" w:rsidRDefault="00000000" w:rsidRPr="00000000" w14:paraId="00000225">
                  <w:pPr>
                    <w:rPr>
                      <w:rFonts w:ascii="Times New Roman" w:cs="Times New Roman" w:eastAsia="Times New Roman" w:hAnsi="Times New Roman"/>
                      <w:sz w:val="16"/>
                      <w:szCs w:val="16"/>
                    </w:rPr>
                  </w:pPr>
                  <w:r w:rsidDel="00000000" w:rsidR="00000000" w:rsidRPr="00000000">
                    <w:rPr>
                      <w:rtl w:val="0"/>
                    </w:rPr>
                  </w:r>
                </w:p>
              </w:tc>
              <w:tc>
                <w:tcPr>
                  <w:tcBorders>
                    <w:top w:color="000000" w:space="0" w:sz="0" w:val="nil"/>
                    <w:left w:color="000000" w:space="0" w:sz="0" w:val="nil"/>
                    <w:bottom w:color="000000" w:space="0" w:sz="0" w:val="nil"/>
                    <w:right w:color="000000" w:space="0" w:sz="8" w:val="single"/>
                  </w:tcBorders>
                  <w:shd w:fill="ffffff" w:val="clear"/>
                  <w:vAlign w:val="center"/>
                </w:tcPr>
                <w:p w:rsidR="00000000" w:rsidDel="00000000" w:rsidP="00000000" w:rsidRDefault="00000000" w:rsidRPr="00000000" w14:paraId="00000226">
                  <w:pPr>
                    <w:rPr>
                      <w:rFonts w:ascii="Times New Roman" w:cs="Times New Roman" w:eastAsia="Times New Roman" w:hAnsi="Times New Roman"/>
                      <w:sz w:val="16"/>
                      <w:szCs w:val="16"/>
                    </w:rPr>
                  </w:pPr>
                  <w:r w:rsidDel="00000000" w:rsidR="00000000" w:rsidRPr="00000000">
                    <w:rPr>
                      <w:rFonts w:ascii="Times New Roman" w:cs="Times New Roman" w:eastAsia="Times New Roman" w:hAnsi="Times New Roman"/>
                      <w:sz w:val="16"/>
                      <w:szCs w:val="16"/>
                      <w:rtl w:val="0"/>
                    </w:rPr>
                    <w:t xml:space="preserve"> </w:t>
                  </w:r>
                </w:p>
              </w:tc>
            </w:tr>
            <w:tr>
              <w:trPr>
                <w:cantSplit w:val="0"/>
                <w:trHeight w:val="315" w:hRule="atLeast"/>
                <w:tblHeader w:val="0"/>
              </w:trPr>
              <w:tc>
                <w:tcPr>
                  <w:tcBorders>
                    <w:top w:color="000000" w:space="0" w:sz="0" w:val="nil"/>
                    <w:left w:color="000000" w:space="0" w:sz="0" w:val="nil"/>
                    <w:bottom w:color="000000" w:space="0" w:sz="0" w:val="nil"/>
                    <w:right w:color="000000" w:space="0" w:sz="0" w:val="nil"/>
                  </w:tcBorders>
                  <w:shd w:fill="ffffff" w:val="clear"/>
                  <w:vAlign w:val="center"/>
                </w:tcPr>
                <w:p w:rsidR="00000000" w:rsidDel="00000000" w:rsidP="00000000" w:rsidRDefault="00000000" w:rsidRPr="00000000" w14:paraId="00000227">
                  <w:pPr>
                    <w:jc w:val="right"/>
                    <w:rPr>
                      <w:rFonts w:ascii="Times New Roman" w:cs="Times New Roman" w:eastAsia="Times New Roman" w:hAnsi="Times New Roman"/>
                      <w:sz w:val="16"/>
                      <w:szCs w:val="16"/>
                    </w:rPr>
                  </w:pPr>
                  <w:r w:rsidDel="00000000" w:rsidR="00000000" w:rsidRPr="00000000">
                    <w:rPr>
                      <w:rFonts w:ascii="Times New Roman" w:cs="Times New Roman" w:eastAsia="Times New Roman" w:hAnsi="Times New Roman"/>
                      <w:sz w:val="16"/>
                      <w:szCs w:val="16"/>
                      <w:rtl w:val="0"/>
                    </w:rPr>
                    <w:t xml:space="preserve"> </w:t>
                  </w:r>
                </w:p>
              </w:tc>
              <w:tc>
                <w:tcPr>
                  <w:tcBorders>
                    <w:top w:color="000000" w:space="0" w:sz="4" w:val="single"/>
                    <w:left w:color="000000" w:space="0" w:sz="4" w:val="single"/>
                    <w:bottom w:color="000000" w:space="0" w:sz="4" w:val="single"/>
                    <w:right w:color="000000" w:space="0" w:sz="0" w:val="nil"/>
                  </w:tcBorders>
                  <w:shd w:fill="ffffff" w:val="clear"/>
                  <w:vAlign w:val="center"/>
                </w:tcPr>
                <w:p w:rsidR="00000000" w:rsidDel="00000000" w:rsidP="00000000" w:rsidRDefault="00000000" w:rsidRPr="00000000" w14:paraId="00000228">
                  <w:pPr>
                    <w:jc w:val="center"/>
                    <w:rPr>
                      <w:rFonts w:ascii="Times New Roman" w:cs="Times New Roman" w:eastAsia="Times New Roman" w:hAnsi="Times New Roman"/>
                      <w:sz w:val="16"/>
                      <w:szCs w:val="16"/>
                    </w:rPr>
                  </w:pPr>
                  <w:r w:rsidDel="00000000" w:rsidR="00000000" w:rsidRPr="00000000">
                    <w:rPr>
                      <w:rFonts w:ascii="Times New Roman" w:cs="Times New Roman" w:eastAsia="Times New Roman" w:hAnsi="Times New Roman"/>
                      <w:sz w:val="16"/>
                      <w:szCs w:val="16"/>
                      <w:rtl w:val="0"/>
                    </w:rPr>
                    <w:t xml:space="preserve">0</w:t>
                  </w:r>
                </w:p>
              </w:tc>
              <w:tc>
                <w:tcPr>
                  <w:tcBorders>
                    <w:top w:color="000000" w:space="0" w:sz="4" w:val="single"/>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229">
                  <w:pPr>
                    <w:jc w:val="center"/>
                    <w:rPr>
                      <w:rFonts w:ascii="Times New Roman" w:cs="Times New Roman" w:eastAsia="Times New Roman" w:hAnsi="Times New Roman"/>
                      <w:sz w:val="16"/>
                      <w:szCs w:val="16"/>
                    </w:rPr>
                  </w:pPr>
                  <w:r w:rsidDel="00000000" w:rsidR="00000000" w:rsidRPr="00000000">
                    <w:rPr>
                      <w:rFonts w:ascii="Times New Roman" w:cs="Times New Roman" w:eastAsia="Times New Roman" w:hAnsi="Times New Roman"/>
                      <w:sz w:val="16"/>
                      <w:szCs w:val="16"/>
                      <w:rtl w:val="0"/>
                    </w:rPr>
                    <w:t xml:space="preserve"> </w:t>
                  </w:r>
                </w:p>
              </w:tc>
              <w:tc>
                <w:tcPr>
                  <w:tcBorders>
                    <w:top w:color="000000" w:space="0" w:sz="4" w:val="single"/>
                    <w:left w:color="000000" w:space="0" w:sz="0" w:val="nil"/>
                    <w:bottom w:color="000000" w:space="0" w:sz="4" w:val="single"/>
                    <w:right w:color="000000" w:space="0" w:sz="0" w:val="nil"/>
                  </w:tcBorders>
                  <w:shd w:fill="ffffff" w:val="clear"/>
                  <w:vAlign w:val="center"/>
                </w:tcPr>
                <w:p w:rsidR="00000000" w:rsidDel="00000000" w:rsidP="00000000" w:rsidRDefault="00000000" w:rsidRPr="00000000" w14:paraId="0000022A">
                  <w:pPr>
                    <w:jc w:val="center"/>
                    <w:rPr>
                      <w:rFonts w:ascii="Times New Roman" w:cs="Times New Roman" w:eastAsia="Times New Roman" w:hAnsi="Times New Roman"/>
                      <w:sz w:val="16"/>
                      <w:szCs w:val="16"/>
                    </w:rPr>
                  </w:pPr>
                  <w:r w:rsidDel="00000000" w:rsidR="00000000" w:rsidRPr="00000000">
                    <w:rPr>
                      <w:rFonts w:ascii="Times New Roman" w:cs="Times New Roman" w:eastAsia="Times New Roman" w:hAnsi="Times New Roman"/>
                      <w:sz w:val="16"/>
                      <w:szCs w:val="16"/>
                      <w:rtl w:val="0"/>
                    </w:rPr>
                    <w:t xml:space="preserve"> 0</w:t>
                  </w:r>
                </w:p>
              </w:tc>
              <w:tc>
                <w:tcPr>
                  <w:tcBorders>
                    <w:top w:color="000000" w:space="0" w:sz="4" w:val="single"/>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22B">
                  <w:pPr>
                    <w:jc w:val="center"/>
                    <w:rPr>
                      <w:rFonts w:ascii="Times New Roman" w:cs="Times New Roman" w:eastAsia="Times New Roman" w:hAnsi="Times New Roman"/>
                      <w:sz w:val="16"/>
                      <w:szCs w:val="16"/>
                    </w:rPr>
                  </w:pPr>
                  <w:r w:rsidDel="00000000" w:rsidR="00000000" w:rsidRPr="00000000">
                    <w:rPr>
                      <w:rFonts w:ascii="Times New Roman" w:cs="Times New Roman" w:eastAsia="Times New Roman" w:hAnsi="Times New Roman"/>
                      <w:sz w:val="16"/>
                      <w:szCs w:val="16"/>
                      <w:rtl w:val="0"/>
                    </w:rPr>
                    <w:t xml:space="preserve"> </w:t>
                  </w:r>
                </w:p>
              </w:tc>
              <w:tc>
                <w:tcPr>
                  <w:tcBorders>
                    <w:top w:color="000000" w:space="0" w:sz="4" w:val="single"/>
                    <w:left w:color="000000" w:space="0" w:sz="0" w:val="nil"/>
                    <w:bottom w:color="000000" w:space="0" w:sz="4" w:val="single"/>
                    <w:right w:color="000000" w:space="0" w:sz="0" w:val="nil"/>
                  </w:tcBorders>
                  <w:shd w:fill="ffffff" w:val="clear"/>
                  <w:vAlign w:val="center"/>
                </w:tcPr>
                <w:p w:rsidR="00000000" w:rsidDel="00000000" w:rsidP="00000000" w:rsidRDefault="00000000" w:rsidRPr="00000000" w14:paraId="0000022C">
                  <w:pPr>
                    <w:jc w:val="center"/>
                    <w:rPr>
                      <w:rFonts w:ascii="Times New Roman" w:cs="Times New Roman" w:eastAsia="Times New Roman" w:hAnsi="Times New Roman"/>
                      <w:sz w:val="16"/>
                      <w:szCs w:val="16"/>
                    </w:rPr>
                  </w:pPr>
                  <w:r w:rsidDel="00000000" w:rsidR="00000000" w:rsidRPr="00000000">
                    <w:rPr>
                      <w:rFonts w:ascii="Times New Roman" w:cs="Times New Roman" w:eastAsia="Times New Roman" w:hAnsi="Times New Roman"/>
                      <w:sz w:val="16"/>
                      <w:szCs w:val="16"/>
                      <w:rtl w:val="0"/>
                    </w:rPr>
                    <w:t xml:space="preserve"> </w:t>
                  </w:r>
                </w:p>
              </w:tc>
              <w:tc>
                <w:tcPr>
                  <w:tcBorders>
                    <w:top w:color="000000" w:space="0" w:sz="4" w:val="single"/>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22D">
                  <w:pPr>
                    <w:jc w:val="center"/>
                    <w:rPr>
                      <w:rFonts w:ascii="Times New Roman" w:cs="Times New Roman" w:eastAsia="Times New Roman" w:hAnsi="Times New Roman"/>
                      <w:sz w:val="16"/>
                      <w:szCs w:val="16"/>
                    </w:rPr>
                  </w:pPr>
                  <w:r w:rsidDel="00000000" w:rsidR="00000000" w:rsidRPr="00000000">
                    <w:rPr>
                      <w:rFonts w:ascii="Times New Roman" w:cs="Times New Roman" w:eastAsia="Times New Roman" w:hAnsi="Times New Roman"/>
                      <w:sz w:val="16"/>
                      <w:szCs w:val="16"/>
                      <w:rtl w:val="0"/>
                    </w:rPr>
                    <w:t xml:space="preserve"> </w:t>
                  </w:r>
                </w:p>
              </w:tc>
              <w:tc>
                <w:tcPr>
                  <w:tcBorders>
                    <w:top w:color="000000" w:space="0" w:sz="4" w:val="single"/>
                    <w:left w:color="000000" w:space="0" w:sz="0" w:val="nil"/>
                    <w:bottom w:color="000000" w:space="0" w:sz="4" w:val="single"/>
                    <w:right w:color="000000" w:space="0" w:sz="0" w:val="nil"/>
                  </w:tcBorders>
                  <w:shd w:fill="ffffff" w:val="clear"/>
                  <w:vAlign w:val="center"/>
                </w:tcPr>
                <w:p w:rsidR="00000000" w:rsidDel="00000000" w:rsidP="00000000" w:rsidRDefault="00000000" w:rsidRPr="00000000" w14:paraId="0000022E">
                  <w:pPr>
                    <w:jc w:val="center"/>
                    <w:rPr>
                      <w:rFonts w:ascii="Times New Roman" w:cs="Times New Roman" w:eastAsia="Times New Roman" w:hAnsi="Times New Roman"/>
                      <w:sz w:val="16"/>
                      <w:szCs w:val="16"/>
                    </w:rPr>
                  </w:pPr>
                  <w:r w:rsidDel="00000000" w:rsidR="00000000" w:rsidRPr="00000000">
                    <w:rPr>
                      <w:rFonts w:ascii="Times New Roman" w:cs="Times New Roman" w:eastAsia="Times New Roman" w:hAnsi="Times New Roman"/>
                      <w:sz w:val="16"/>
                      <w:szCs w:val="16"/>
                      <w:rtl w:val="0"/>
                    </w:rPr>
                    <w:t xml:space="preserve"> </w:t>
                  </w:r>
                </w:p>
              </w:tc>
              <w:tc>
                <w:tcPr>
                  <w:tcBorders>
                    <w:top w:color="000000" w:space="0" w:sz="4" w:val="single"/>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22F">
                  <w:pPr>
                    <w:jc w:val="center"/>
                    <w:rPr>
                      <w:rFonts w:ascii="Times New Roman" w:cs="Times New Roman" w:eastAsia="Times New Roman" w:hAnsi="Times New Roman"/>
                      <w:sz w:val="16"/>
                      <w:szCs w:val="16"/>
                    </w:rPr>
                  </w:pPr>
                  <w:r w:rsidDel="00000000" w:rsidR="00000000" w:rsidRPr="00000000">
                    <w:rPr>
                      <w:rFonts w:ascii="Times New Roman" w:cs="Times New Roman" w:eastAsia="Times New Roman" w:hAnsi="Times New Roman"/>
                      <w:sz w:val="16"/>
                      <w:szCs w:val="16"/>
                      <w:rtl w:val="0"/>
                    </w:rPr>
                    <w:t xml:space="preserve"> </w:t>
                  </w:r>
                </w:p>
              </w:tc>
              <w:tc>
                <w:tcPr>
                  <w:tcBorders>
                    <w:top w:color="000000" w:space="0" w:sz="4" w:val="single"/>
                    <w:left w:color="000000" w:space="0" w:sz="0" w:val="nil"/>
                    <w:bottom w:color="000000" w:space="0" w:sz="4" w:val="single"/>
                    <w:right w:color="000000" w:space="0" w:sz="0" w:val="nil"/>
                  </w:tcBorders>
                  <w:shd w:fill="ffffff" w:val="clear"/>
                  <w:vAlign w:val="center"/>
                </w:tcPr>
                <w:p w:rsidR="00000000" w:rsidDel="00000000" w:rsidP="00000000" w:rsidRDefault="00000000" w:rsidRPr="00000000" w14:paraId="00000230">
                  <w:pPr>
                    <w:jc w:val="center"/>
                    <w:rPr>
                      <w:rFonts w:ascii="Times New Roman" w:cs="Times New Roman" w:eastAsia="Times New Roman" w:hAnsi="Times New Roman"/>
                      <w:sz w:val="16"/>
                      <w:szCs w:val="16"/>
                    </w:rPr>
                  </w:pPr>
                  <w:r w:rsidDel="00000000" w:rsidR="00000000" w:rsidRPr="00000000">
                    <w:rPr>
                      <w:rFonts w:ascii="Times New Roman" w:cs="Times New Roman" w:eastAsia="Times New Roman" w:hAnsi="Times New Roman"/>
                      <w:sz w:val="16"/>
                      <w:szCs w:val="16"/>
                      <w:rtl w:val="0"/>
                    </w:rPr>
                    <w:t xml:space="preserve"> </w:t>
                  </w:r>
                </w:p>
              </w:tc>
              <w:tc>
                <w:tcPr>
                  <w:tcBorders>
                    <w:top w:color="000000" w:space="0" w:sz="4" w:val="single"/>
                    <w:left w:color="000000" w:space="0" w:sz="0" w:val="nil"/>
                    <w:bottom w:color="000000" w:space="0" w:sz="4" w:val="single"/>
                    <w:right w:color="000000" w:space="0" w:sz="8" w:val="single"/>
                  </w:tcBorders>
                  <w:shd w:fill="ffffff" w:val="clear"/>
                  <w:vAlign w:val="center"/>
                </w:tcPr>
                <w:p w:rsidR="00000000" w:rsidDel="00000000" w:rsidP="00000000" w:rsidRDefault="00000000" w:rsidRPr="00000000" w14:paraId="00000231">
                  <w:pPr>
                    <w:jc w:val="center"/>
                    <w:rPr>
                      <w:rFonts w:ascii="Times New Roman" w:cs="Times New Roman" w:eastAsia="Times New Roman" w:hAnsi="Times New Roman"/>
                      <w:sz w:val="16"/>
                      <w:szCs w:val="16"/>
                    </w:rPr>
                  </w:pPr>
                  <w:r w:rsidDel="00000000" w:rsidR="00000000" w:rsidRPr="00000000">
                    <w:rPr>
                      <w:rFonts w:ascii="Times New Roman" w:cs="Times New Roman" w:eastAsia="Times New Roman" w:hAnsi="Times New Roman"/>
                      <w:sz w:val="16"/>
                      <w:szCs w:val="16"/>
                      <w:rtl w:val="0"/>
                    </w:rPr>
                    <w:t xml:space="preserve"> </w:t>
                  </w:r>
                </w:p>
              </w:tc>
            </w:tr>
            <w:tr>
              <w:trPr>
                <w:cantSplit w:val="0"/>
                <w:trHeight w:val="315" w:hRule="atLeast"/>
                <w:tblHeader w:val="0"/>
              </w:trPr>
              <w:tc>
                <w:tcPr>
                  <w:tcBorders>
                    <w:top w:color="000000" w:space="0" w:sz="0" w:val="nil"/>
                    <w:left w:color="000000" w:space="0" w:sz="0" w:val="nil"/>
                    <w:bottom w:color="000000" w:space="0" w:sz="0" w:val="nil"/>
                    <w:right w:color="000000" w:space="0" w:sz="0" w:val="nil"/>
                  </w:tcBorders>
                  <w:shd w:fill="ffffff" w:val="clear"/>
                  <w:vAlign w:val="center"/>
                </w:tcPr>
                <w:p w:rsidR="00000000" w:rsidDel="00000000" w:rsidP="00000000" w:rsidRDefault="00000000" w:rsidRPr="00000000" w14:paraId="00000232">
                  <w:pPr>
                    <w:jc w:val="right"/>
                    <w:rPr>
                      <w:rFonts w:ascii="Times New Roman" w:cs="Times New Roman" w:eastAsia="Times New Roman" w:hAnsi="Times New Roman"/>
                      <w:sz w:val="16"/>
                      <w:szCs w:val="16"/>
                    </w:rPr>
                  </w:pPr>
                  <w:r w:rsidDel="00000000" w:rsidR="00000000" w:rsidRPr="00000000">
                    <w:rPr>
                      <w:rFonts w:ascii="Times New Roman" w:cs="Times New Roman" w:eastAsia="Times New Roman" w:hAnsi="Times New Roman"/>
                      <w:sz w:val="16"/>
                      <w:szCs w:val="16"/>
                      <w:rtl w:val="0"/>
                    </w:rPr>
                    <w:t xml:space="preserve"> </w:t>
                  </w:r>
                </w:p>
              </w:tc>
              <w:tc>
                <w:tcPr>
                  <w:tcBorders>
                    <w:top w:color="000000" w:space="0" w:sz="0" w:val="nil"/>
                    <w:left w:color="000000" w:space="0" w:sz="0" w:val="nil"/>
                    <w:bottom w:color="000000" w:space="0" w:sz="4" w:val="single"/>
                    <w:right w:color="000000" w:space="0" w:sz="0" w:val="nil"/>
                  </w:tcBorders>
                  <w:shd w:fill="ffffff" w:val="clear"/>
                  <w:vAlign w:val="center"/>
                </w:tcPr>
                <w:p w:rsidR="00000000" w:rsidDel="00000000" w:rsidP="00000000" w:rsidRDefault="00000000" w:rsidRPr="00000000" w14:paraId="00000233">
                  <w:pPr>
                    <w:jc w:val="center"/>
                    <w:rPr>
                      <w:rFonts w:ascii="Times New Roman" w:cs="Times New Roman" w:eastAsia="Times New Roman" w:hAnsi="Times New Roman"/>
                      <w:sz w:val="16"/>
                      <w:szCs w:val="16"/>
                    </w:rPr>
                  </w:pPr>
                  <w:r w:rsidDel="00000000" w:rsidR="00000000" w:rsidRPr="00000000">
                    <w:rPr>
                      <w:rtl w:val="0"/>
                    </w:rPr>
                  </w:r>
                </w:p>
              </w:tc>
              <w:tc>
                <w:tcPr>
                  <w:tcBorders>
                    <w:top w:color="000000" w:space="0" w:sz="0" w:val="nil"/>
                    <w:left w:color="000000" w:space="0" w:sz="0" w:val="nil"/>
                    <w:bottom w:color="000000" w:space="0" w:sz="4" w:val="single"/>
                    <w:right w:color="000000" w:space="0" w:sz="0" w:val="nil"/>
                  </w:tcBorders>
                  <w:shd w:fill="ffffff" w:val="clear"/>
                  <w:vAlign w:val="center"/>
                </w:tcPr>
                <w:p w:rsidR="00000000" w:rsidDel="00000000" w:rsidP="00000000" w:rsidRDefault="00000000" w:rsidRPr="00000000" w14:paraId="00000234">
                  <w:pPr>
                    <w:jc w:val="center"/>
                    <w:rPr>
                      <w:rFonts w:ascii="Times New Roman" w:cs="Times New Roman" w:eastAsia="Times New Roman" w:hAnsi="Times New Roman"/>
                      <w:sz w:val="16"/>
                      <w:szCs w:val="16"/>
                    </w:rPr>
                  </w:pPr>
                  <w:r w:rsidDel="00000000" w:rsidR="00000000" w:rsidRPr="00000000">
                    <w:rPr>
                      <w:rFonts w:ascii="Times New Roman" w:cs="Times New Roman" w:eastAsia="Times New Roman" w:hAnsi="Times New Roman"/>
                      <w:sz w:val="16"/>
                      <w:szCs w:val="16"/>
                      <w:rtl w:val="0"/>
                    </w:rPr>
                    <w:t xml:space="preserve"> </w:t>
                  </w:r>
                </w:p>
              </w:tc>
              <w:tc>
                <w:tcPr>
                  <w:tcBorders>
                    <w:top w:color="000000" w:space="0" w:sz="0" w:val="nil"/>
                    <w:left w:color="000000" w:space="0" w:sz="0" w:val="nil"/>
                    <w:bottom w:color="000000" w:space="0" w:sz="4" w:val="single"/>
                    <w:right w:color="000000" w:space="0" w:sz="0" w:val="nil"/>
                  </w:tcBorders>
                  <w:shd w:fill="ffffff" w:val="clear"/>
                  <w:vAlign w:val="center"/>
                </w:tcPr>
                <w:p w:rsidR="00000000" w:rsidDel="00000000" w:rsidP="00000000" w:rsidRDefault="00000000" w:rsidRPr="00000000" w14:paraId="00000235">
                  <w:pPr>
                    <w:jc w:val="center"/>
                    <w:rPr>
                      <w:rFonts w:ascii="Times New Roman" w:cs="Times New Roman" w:eastAsia="Times New Roman" w:hAnsi="Times New Roman"/>
                      <w:sz w:val="16"/>
                      <w:szCs w:val="16"/>
                    </w:rPr>
                  </w:pPr>
                  <w:r w:rsidDel="00000000" w:rsidR="00000000" w:rsidRPr="00000000">
                    <w:rPr>
                      <w:rFonts w:ascii="Times New Roman" w:cs="Times New Roman" w:eastAsia="Times New Roman" w:hAnsi="Times New Roman"/>
                      <w:sz w:val="16"/>
                      <w:szCs w:val="16"/>
                      <w:rtl w:val="0"/>
                    </w:rPr>
                    <w:t xml:space="preserve">Final</w:t>
                  </w:r>
                </w:p>
              </w:tc>
              <w:tc>
                <w:tcPr>
                  <w:tcBorders>
                    <w:top w:color="000000" w:space="0" w:sz="0" w:val="nil"/>
                    <w:left w:color="000000" w:space="0" w:sz="0" w:val="nil"/>
                    <w:bottom w:color="000000" w:space="0" w:sz="4" w:val="single"/>
                    <w:right w:color="000000" w:space="0" w:sz="0" w:val="nil"/>
                  </w:tcBorders>
                  <w:shd w:fill="ffffff" w:val="clear"/>
                  <w:vAlign w:val="center"/>
                </w:tcPr>
                <w:p w:rsidR="00000000" w:rsidDel="00000000" w:rsidP="00000000" w:rsidRDefault="00000000" w:rsidRPr="00000000" w14:paraId="00000236">
                  <w:pPr>
                    <w:jc w:val="center"/>
                    <w:rPr>
                      <w:rFonts w:ascii="Times New Roman" w:cs="Times New Roman" w:eastAsia="Times New Roman" w:hAnsi="Times New Roman"/>
                      <w:sz w:val="16"/>
                      <w:szCs w:val="16"/>
                    </w:rPr>
                  </w:pPr>
                  <w:r w:rsidDel="00000000" w:rsidR="00000000" w:rsidRPr="00000000">
                    <w:rPr>
                      <w:rFonts w:ascii="Times New Roman" w:cs="Times New Roman" w:eastAsia="Times New Roman" w:hAnsi="Times New Roman"/>
                      <w:sz w:val="16"/>
                      <w:szCs w:val="16"/>
                      <w:rtl w:val="0"/>
                    </w:rPr>
                    <w:t xml:space="preserve"> </w:t>
                  </w:r>
                </w:p>
              </w:tc>
              <w:tc>
                <w:tcPr>
                  <w:tcBorders>
                    <w:top w:color="000000" w:space="0" w:sz="0" w:val="nil"/>
                    <w:left w:color="000000" w:space="0" w:sz="0" w:val="nil"/>
                    <w:bottom w:color="000000" w:space="0" w:sz="4" w:val="single"/>
                    <w:right w:color="000000" w:space="0" w:sz="0" w:val="nil"/>
                  </w:tcBorders>
                  <w:shd w:fill="ffffff" w:val="clear"/>
                  <w:vAlign w:val="center"/>
                </w:tcPr>
                <w:p w:rsidR="00000000" w:rsidDel="00000000" w:rsidP="00000000" w:rsidRDefault="00000000" w:rsidRPr="00000000" w14:paraId="00000237">
                  <w:pPr>
                    <w:jc w:val="center"/>
                    <w:rPr>
                      <w:rFonts w:ascii="Times New Roman" w:cs="Times New Roman" w:eastAsia="Times New Roman" w:hAnsi="Times New Roman"/>
                      <w:sz w:val="16"/>
                      <w:szCs w:val="16"/>
                    </w:rPr>
                  </w:pPr>
                  <w:r w:rsidDel="00000000" w:rsidR="00000000" w:rsidRPr="00000000">
                    <w:rPr>
                      <w:rFonts w:ascii="Times New Roman" w:cs="Times New Roman" w:eastAsia="Times New Roman" w:hAnsi="Times New Roman"/>
                      <w:sz w:val="16"/>
                      <w:szCs w:val="16"/>
                      <w:rtl w:val="0"/>
                    </w:rPr>
                    <w:t xml:space="preserve"> </w:t>
                  </w:r>
                </w:p>
              </w:tc>
              <w:tc>
                <w:tcPr>
                  <w:tcBorders>
                    <w:top w:color="000000" w:space="0" w:sz="0" w:val="nil"/>
                    <w:left w:color="000000" w:space="0" w:sz="0" w:val="nil"/>
                    <w:bottom w:color="000000" w:space="0" w:sz="4" w:val="single"/>
                    <w:right w:color="000000" w:space="0" w:sz="0" w:val="nil"/>
                  </w:tcBorders>
                  <w:shd w:fill="ffffff" w:val="clear"/>
                  <w:vAlign w:val="center"/>
                </w:tcPr>
                <w:p w:rsidR="00000000" w:rsidDel="00000000" w:rsidP="00000000" w:rsidRDefault="00000000" w:rsidRPr="00000000" w14:paraId="00000238">
                  <w:pPr>
                    <w:jc w:val="center"/>
                    <w:rPr>
                      <w:rFonts w:ascii="Times New Roman" w:cs="Times New Roman" w:eastAsia="Times New Roman" w:hAnsi="Times New Roman"/>
                      <w:sz w:val="16"/>
                      <w:szCs w:val="16"/>
                    </w:rPr>
                  </w:pPr>
                  <w:r w:rsidDel="00000000" w:rsidR="00000000" w:rsidRPr="00000000">
                    <w:rPr>
                      <w:rFonts w:ascii="Times New Roman" w:cs="Times New Roman" w:eastAsia="Times New Roman" w:hAnsi="Times New Roman"/>
                      <w:sz w:val="16"/>
                      <w:szCs w:val="16"/>
                      <w:rtl w:val="0"/>
                    </w:rPr>
                    <w:t xml:space="preserve"> </w:t>
                  </w:r>
                </w:p>
              </w:tc>
              <w:tc>
                <w:tcPr>
                  <w:tcBorders>
                    <w:top w:color="000000" w:space="0" w:sz="0" w:val="nil"/>
                    <w:left w:color="000000" w:space="0" w:sz="0" w:val="nil"/>
                    <w:bottom w:color="000000" w:space="0" w:sz="4" w:val="single"/>
                    <w:right w:color="000000" w:space="0" w:sz="0" w:val="nil"/>
                  </w:tcBorders>
                  <w:shd w:fill="ffffff" w:val="clear"/>
                  <w:vAlign w:val="center"/>
                </w:tcPr>
                <w:p w:rsidR="00000000" w:rsidDel="00000000" w:rsidP="00000000" w:rsidRDefault="00000000" w:rsidRPr="00000000" w14:paraId="00000239">
                  <w:pPr>
                    <w:jc w:val="center"/>
                    <w:rPr>
                      <w:rFonts w:ascii="Times New Roman" w:cs="Times New Roman" w:eastAsia="Times New Roman" w:hAnsi="Times New Roman"/>
                      <w:sz w:val="16"/>
                      <w:szCs w:val="16"/>
                    </w:rPr>
                  </w:pPr>
                  <w:r w:rsidDel="00000000" w:rsidR="00000000" w:rsidRPr="00000000">
                    <w:rPr>
                      <w:rFonts w:ascii="Times New Roman" w:cs="Times New Roman" w:eastAsia="Times New Roman" w:hAnsi="Times New Roman"/>
                      <w:sz w:val="16"/>
                      <w:szCs w:val="16"/>
                      <w:rtl w:val="0"/>
                    </w:rPr>
                    <w:t xml:space="preserve"> </w:t>
                  </w:r>
                </w:p>
              </w:tc>
              <w:tc>
                <w:tcPr>
                  <w:tcBorders>
                    <w:top w:color="000000" w:space="0" w:sz="0" w:val="nil"/>
                    <w:left w:color="000000" w:space="0" w:sz="0" w:val="nil"/>
                    <w:bottom w:color="000000" w:space="0" w:sz="4" w:val="single"/>
                    <w:right w:color="000000" w:space="0" w:sz="0" w:val="nil"/>
                  </w:tcBorders>
                  <w:shd w:fill="ffffff" w:val="clear"/>
                  <w:vAlign w:val="center"/>
                </w:tcPr>
                <w:p w:rsidR="00000000" w:rsidDel="00000000" w:rsidP="00000000" w:rsidRDefault="00000000" w:rsidRPr="00000000" w14:paraId="0000023A">
                  <w:pPr>
                    <w:jc w:val="center"/>
                    <w:rPr>
                      <w:rFonts w:ascii="Times New Roman" w:cs="Times New Roman" w:eastAsia="Times New Roman" w:hAnsi="Times New Roman"/>
                      <w:sz w:val="16"/>
                      <w:szCs w:val="16"/>
                    </w:rPr>
                  </w:pPr>
                  <w:r w:rsidDel="00000000" w:rsidR="00000000" w:rsidRPr="00000000">
                    <w:rPr>
                      <w:rFonts w:ascii="Times New Roman" w:cs="Times New Roman" w:eastAsia="Times New Roman" w:hAnsi="Times New Roman"/>
                      <w:sz w:val="16"/>
                      <w:szCs w:val="16"/>
                      <w:rtl w:val="0"/>
                    </w:rPr>
                    <w:t xml:space="preserve"> </w:t>
                  </w:r>
                </w:p>
              </w:tc>
              <w:tc>
                <w:tcPr>
                  <w:tcBorders>
                    <w:top w:color="000000" w:space="0" w:sz="0" w:val="nil"/>
                    <w:left w:color="000000" w:space="0" w:sz="0" w:val="nil"/>
                    <w:bottom w:color="000000" w:space="0" w:sz="4" w:val="single"/>
                    <w:right w:color="000000" w:space="0" w:sz="0" w:val="nil"/>
                  </w:tcBorders>
                  <w:shd w:fill="ffffff" w:val="clear"/>
                  <w:vAlign w:val="center"/>
                </w:tcPr>
                <w:p w:rsidR="00000000" w:rsidDel="00000000" w:rsidP="00000000" w:rsidRDefault="00000000" w:rsidRPr="00000000" w14:paraId="0000023B">
                  <w:pPr>
                    <w:jc w:val="center"/>
                    <w:rPr>
                      <w:rFonts w:ascii="Times New Roman" w:cs="Times New Roman" w:eastAsia="Times New Roman" w:hAnsi="Times New Roman"/>
                      <w:sz w:val="16"/>
                      <w:szCs w:val="16"/>
                    </w:rPr>
                  </w:pPr>
                  <w:r w:rsidDel="00000000" w:rsidR="00000000" w:rsidRPr="00000000">
                    <w:rPr>
                      <w:rFonts w:ascii="Times New Roman" w:cs="Times New Roman" w:eastAsia="Times New Roman" w:hAnsi="Times New Roman"/>
                      <w:sz w:val="16"/>
                      <w:szCs w:val="16"/>
                      <w:rtl w:val="0"/>
                    </w:rPr>
                    <w:t xml:space="preserve"> </w:t>
                  </w:r>
                </w:p>
              </w:tc>
              <w:tc>
                <w:tcPr>
                  <w:tcBorders>
                    <w:top w:color="000000" w:space="0" w:sz="0" w:val="nil"/>
                    <w:left w:color="000000" w:space="0" w:sz="0" w:val="nil"/>
                    <w:bottom w:color="000000" w:space="0" w:sz="4" w:val="single"/>
                    <w:right w:color="000000" w:space="0" w:sz="8" w:val="single"/>
                  </w:tcBorders>
                  <w:shd w:fill="ffffff" w:val="clear"/>
                  <w:vAlign w:val="center"/>
                </w:tcPr>
                <w:p w:rsidR="00000000" w:rsidDel="00000000" w:rsidP="00000000" w:rsidRDefault="00000000" w:rsidRPr="00000000" w14:paraId="0000023C">
                  <w:pPr>
                    <w:jc w:val="center"/>
                    <w:rPr>
                      <w:rFonts w:ascii="Times New Roman" w:cs="Times New Roman" w:eastAsia="Times New Roman" w:hAnsi="Times New Roman"/>
                      <w:sz w:val="16"/>
                      <w:szCs w:val="16"/>
                    </w:rPr>
                  </w:pPr>
                  <w:r w:rsidDel="00000000" w:rsidR="00000000" w:rsidRPr="00000000">
                    <w:rPr>
                      <w:rFonts w:ascii="Times New Roman" w:cs="Times New Roman" w:eastAsia="Times New Roman" w:hAnsi="Times New Roman"/>
                      <w:sz w:val="16"/>
                      <w:szCs w:val="16"/>
                      <w:rtl w:val="0"/>
                    </w:rPr>
                    <w:t xml:space="preserve"> </w:t>
                  </w:r>
                </w:p>
              </w:tc>
            </w:tr>
            <w:tr>
              <w:trPr>
                <w:cantSplit w:val="0"/>
                <w:trHeight w:val="315" w:hRule="atLeast"/>
                <w:tblHeader w:val="0"/>
              </w:trPr>
              <w:tc>
                <w:tcPr>
                  <w:tcBorders>
                    <w:top w:color="000000" w:space="0" w:sz="0" w:val="nil"/>
                    <w:left w:color="000000" w:space="0" w:sz="0" w:val="nil"/>
                    <w:bottom w:color="000000" w:space="0" w:sz="0" w:val="nil"/>
                    <w:right w:color="000000" w:space="0" w:sz="0" w:val="nil"/>
                  </w:tcBorders>
                  <w:shd w:fill="ffffff" w:val="clear"/>
                  <w:vAlign w:val="center"/>
                </w:tcPr>
                <w:p w:rsidR="00000000" w:rsidDel="00000000" w:rsidP="00000000" w:rsidRDefault="00000000" w:rsidRPr="00000000" w14:paraId="0000023D">
                  <w:pPr>
                    <w:jc w:val="right"/>
                    <w:rPr>
                      <w:rFonts w:ascii="Times New Roman" w:cs="Times New Roman" w:eastAsia="Times New Roman" w:hAnsi="Times New Roman"/>
                      <w:sz w:val="16"/>
                      <w:szCs w:val="16"/>
                    </w:rPr>
                  </w:pPr>
                  <w:r w:rsidDel="00000000" w:rsidR="00000000" w:rsidRPr="00000000">
                    <w:rPr>
                      <w:rFonts w:ascii="Times New Roman" w:cs="Times New Roman" w:eastAsia="Times New Roman" w:hAnsi="Times New Roman"/>
                      <w:sz w:val="16"/>
                      <w:szCs w:val="16"/>
                      <w:rtl w:val="0"/>
                    </w:rPr>
                    <w:t xml:space="preserve"> </w:t>
                  </w:r>
                </w:p>
              </w:tc>
              <w:tc>
                <w:tcPr>
                  <w:tcBorders>
                    <w:top w:color="000000" w:space="0" w:sz="0" w:val="nil"/>
                    <w:left w:color="000000" w:space="0" w:sz="4" w:val="single"/>
                    <w:bottom w:color="000000" w:space="0" w:sz="4" w:val="single"/>
                    <w:right w:color="000000" w:space="0" w:sz="0" w:val="nil"/>
                  </w:tcBorders>
                  <w:shd w:fill="ffffff" w:val="clear"/>
                  <w:vAlign w:val="center"/>
                </w:tcPr>
                <w:p w:rsidR="00000000" w:rsidDel="00000000" w:rsidP="00000000" w:rsidRDefault="00000000" w:rsidRPr="00000000" w14:paraId="0000023E">
                  <w:pPr>
                    <w:jc w:val="center"/>
                    <w:rPr>
                      <w:rFonts w:ascii="Times New Roman" w:cs="Times New Roman" w:eastAsia="Times New Roman" w:hAnsi="Times New Roman"/>
                      <w:sz w:val="16"/>
                      <w:szCs w:val="16"/>
                    </w:rPr>
                  </w:pPr>
                  <w:r w:rsidDel="00000000" w:rsidR="00000000" w:rsidRPr="00000000">
                    <w:rPr>
                      <w:rFonts w:ascii="Times New Roman" w:cs="Times New Roman" w:eastAsia="Times New Roman" w:hAnsi="Times New Roman"/>
                      <w:sz w:val="16"/>
                      <w:szCs w:val="16"/>
                      <w:rtl w:val="0"/>
                    </w:rPr>
                    <w:t xml:space="preserve"> </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23F">
                  <w:pPr>
                    <w:jc w:val="center"/>
                    <w:rPr>
                      <w:rFonts w:ascii="Times New Roman" w:cs="Times New Roman" w:eastAsia="Times New Roman" w:hAnsi="Times New Roman"/>
                      <w:sz w:val="16"/>
                      <w:szCs w:val="16"/>
                    </w:rPr>
                  </w:pPr>
                  <w:r w:rsidDel="00000000" w:rsidR="00000000" w:rsidRPr="00000000">
                    <w:rPr>
                      <w:rFonts w:ascii="Times New Roman" w:cs="Times New Roman" w:eastAsia="Times New Roman" w:hAnsi="Times New Roman"/>
                      <w:sz w:val="16"/>
                      <w:szCs w:val="16"/>
                      <w:rtl w:val="0"/>
                    </w:rPr>
                    <w:t xml:space="preserve"> </w:t>
                  </w:r>
                </w:p>
              </w:tc>
              <w:tc>
                <w:tcPr>
                  <w:gridSpan w:val="2"/>
                  <w:tcBorders>
                    <w:top w:color="000000" w:space="0" w:sz="4" w:val="single"/>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240">
                  <w:pPr>
                    <w:jc w:val="center"/>
                    <w:rPr>
                      <w:rFonts w:ascii="Times New Roman" w:cs="Times New Roman" w:eastAsia="Times New Roman" w:hAnsi="Times New Roman"/>
                      <w:sz w:val="16"/>
                      <w:szCs w:val="16"/>
                    </w:rPr>
                  </w:pPr>
                  <w:r w:rsidDel="00000000" w:rsidR="00000000" w:rsidRPr="00000000">
                    <w:rPr>
                      <w:rFonts w:ascii="Times New Roman" w:cs="Times New Roman" w:eastAsia="Times New Roman" w:hAnsi="Times New Roman"/>
                      <w:sz w:val="16"/>
                      <w:szCs w:val="16"/>
                      <w:rtl w:val="0"/>
                    </w:rPr>
                    <w:t xml:space="preserve">1</w:t>
                  </w:r>
                </w:p>
              </w:tc>
              <w:tc>
                <w:tcPr>
                  <w:gridSpan w:val="2"/>
                  <w:tcBorders>
                    <w:top w:color="000000" w:space="0" w:sz="4" w:val="single"/>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242">
                  <w:pPr>
                    <w:jc w:val="center"/>
                    <w:rPr>
                      <w:rFonts w:ascii="Times New Roman" w:cs="Times New Roman" w:eastAsia="Times New Roman" w:hAnsi="Times New Roman"/>
                      <w:sz w:val="16"/>
                      <w:szCs w:val="16"/>
                    </w:rPr>
                  </w:pPr>
                  <w:r w:rsidDel="00000000" w:rsidR="00000000" w:rsidRPr="00000000">
                    <w:rPr>
                      <w:rFonts w:ascii="Times New Roman" w:cs="Times New Roman" w:eastAsia="Times New Roman" w:hAnsi="Times New Roman"/>
                      <w:sz w:val="16"/>
                      <w:szCs w:val="16"/>
                      <w:rtl w:val="0"/>
                    </w:rPr>
                    <w:t xml:space="preserve"> </w:t>
                  </w:r>
                </w:p>
              </w:tc>
              <w:tc>
                <w:tcPr>
                  <w:tcBorders>
                    <w:top w:color="000000" w:space="0" w:sz="0" w:val="nil"/>
                    <w:left w:color="000000" w:space="0" w:sz="0" w:val="nil"/>
                    <w:bottom w:color="000000" w:space="0" w:sz="4" w:val="single"/>
                    <w:right w:color="000000" w:space="0" w:sz="0" w:val="nil"/>
                  </w:tcBorders>
                  <w:shd w:fill="ffffff" w:val="clear"/>
                  <w:vAlign w:val="center"/>
                </w:tcPr>
                <w:p w:rsidR="00000000" w:rsidDel="00000000" w:rsidP="00000000" w:rsidRDefault="00000000" w:rsidRPr="00000000" w14:paraId="00000244">
                  <w:pPr>
                    <w:jc w:val="center"/>
                    <w:rPr>
                      <w:rFonts w:ascii="Times New Roman" w:cs="Times New Roman" w:eastAsia="Times New Roman" w:hAnsi="Times New Roman"/>
                      <w:sz w:val="16"/>
                      <w:szCs w:val="16"/>
                    </w:rPr>
                  </w:pPr>
                  <w:r w:rsidDel="00000000" w:rsidR="00000000" w:rsidRPr="00000000">
                    <w:rPr>
                      <w:rFonts w:ascii="Times New Roman" w:cs="Times New Roman" w:eastAsia="Times New Roman" w:hAnsi="Times New Roman"/>
                      <w:sz w:val="16"/>
                      <w:szCs w:val="16"/>
                      <w:rtl w:val="0"/>
                    </w:rPr>
                    <w:t xml:space="preserve"> </w:t>
                  </w:r>
                </w:p>
              </w:tc>
              <w:tc>
                <w:tcPr>
                  <w:tcBorders>
                    <w:top w:color="000000" w:space="0" w:sz="0" w:val="nil"/>
                    <w:left w:color="000000" w:space="0" w:sz="0" w:val="nil"/>
                    <w:bottom w:color="000000" w:space="0" w:sz="4" w:val="single"/>
                    <w:right w:color="000000" w:space="0" w:sz="0" w:val="nil"/>
                  </w:tcBorders>
                  <w:shd w:fill="ffffff" w:val="clear"/>
                  <w:vAlign w:val="center"/>
                </w:tcPr>
                <w:p w:rsidR="00000000" w:rsidDel="00000000" w:rsidP="00000000" w:rsidRDefault="00000000" w:rsidRPr="00000000" w14:paraId="00000245">
                  <w:pPr>
                    <w:jc w:val="center"/>
                    <w:rPr>
                      <w:rFonts w:ascii="Times New Roman" w:cs="Times New Roman" w:eastAsia="Times New Roman" w:hAnsi="Times New Roman"/>
                      <w:sz w:val="16"/>
                      <w:szCs w:val="16"/>
                    </w:rPr>
                  </w:pPr>
                  <w:r w:rsidDel="00000000" w:rsidR="00000000" w:rsidRPr="00000000">
                    <w:rPr>
                      <w:rFonts w:ascii="Times New Roman" w:cs="Times New Roman" w:eastAsia="Times New Roman" w:hAnsi="Times New Roman"/>
                      <w:sz w:val="16"/>
                      <w:szCs w:val="16"/>
                      <w:rtl w:val="0"/>
                    </w:rPr>
                    <w:t xml:space="preserve"> </w:t>
                  </w:r>
                </w:p>
              </w:tc>
              <w:tc>
                <w:tcPr>
                  <w:tcBorders>
                    <w:top w:color="000000" w:space="0" w:sz="0" w:val="nil"/>
                    <w:left w:color="000000" w:space="0" w:sz="0" w:val="nil"/>
                    <w:bottom w:color="000000" w:space="0" w:sz="4" w:val="single"/>
                    <w:right w:color="000000" w:space="0" w:sz="0" w:val="nil"/>
                  </w:tcBorders>
                  <w:shd w:fill="ffffff" w:val="clear"/>
                  <w:vAlign w:val="center"/>
                </w:tcPr>
                <w:p w:rsidR="00000000" w:rsidDel="00000000" w:rsidP="00000000" w:rsidRDefault="00000000" w:rsidRPr="00000000" w14:paraId="00000246">
                  <w:pPr>
                    <w:jc w:val="center"/>
                    <w:rPr>
                      <w:rFonts w:ascii="Times New Roman" w:cs="Times New Roman" w:eastAsia="Times New Roman" w:hAnsi="Times New Roman"/>
                      <w:sz w:val="16"/>
                      <w:szCs w:val="16"/>
                    </w:rPr>
                  </w:pPr>
                  <w:r w:rsidDel="00000000" w:rsidR="00000000" w:rsidRPr="00000000">
                    <w:rPr>
                      <w:rFonts w:ascii="Times New Roman" w:cs="Times New Roman" w:eastAsia="Times New Roman" w:hAnsi="Times New Roman"/>
                      <w:sz w:val="16"/>
                      <w:szCs w:val="16"/>
                      <w:rtl w:val="0"/>
                    </w:rPr>
                    <w:t xml:space="preserve"> </w:t>
                  </w:r>
                </w:p>
              </w:tc>
              <w:tc>
                <w:tcPr>
                  <w:tcBorders>
                    <w:top w:color="000000" w:space="0" w:sz="0" w:val="nil"/>
                    <w:left w:color="000000" w:space="0" w:sz="0" w:val="nil"/>
                    <w:bottom w:color="000000" w:space="0" w:sz="4" w:val="single"/>
                    <w:right w:color="000000" w:space="0" w:sz="8" w:val="single"/>
                  </w:tcBorders>
                  <w:shd w:fill="ffffff" w:val="clear"/>
                  <w:vAlign w:val="center"/>
                </w:tcPr>
                <w:p w:rsidR="00000000" w:rsidDel="00000000" w:rsidP="00000000" w:rsidRDefault="00000000" w:rsidRPr="00000000" w14:paraId="00000247">
                  <w:pPr>
                    <w:jc w:val="center"/>
                    <w:rPr>
                      <w:rFonts w:ascii="Times New Roman" w:cs="Times New Roman" w:eastAsia="Times New Roman" w:hAnsi="Times New Roman"/>
                      <w:sz w:val="16"/>
                      <w:szCs w:val="16"/>
                    </w:rPr>
                  </w:pPr>
                  <w:r w:rsidDel="00000000" w:rsidR="00000000" w:rsidRPr="00000000">
                    <w:rPr>
                      <w:rFonts w:ascii="Times New Roman" w:cs="Times New Roman" w:eastAsia="Times New Roman" w:hAnsi="Times New Roman"/>
                      <w:sz w:val="16"/>
                      <w:szCs w:val="16"/>
                      <w:rtl w:val="0"/>
                    </w:rPr>
                    <w:t xml:space="preserve"> </w:t>
                  </w:r>
                </w:p>
              </w:tc>
            </w:tr>
          </w:tbl>
          <w:p w:rsidR="00000000" w:rsidDel="00000000" w:rsidP="00000000" w:rsidRDefault="00000000" w:rsidRPr="00000000" w14:paraId="00000248">
            <w:pPr>
              <w:jc w:val="center"/>
              <w:rPr>
                <w:rFonts w:ascii="Times New Roman" w:cs="Times New Roman" w:eastAsia="Times New Roman" w:hAnsi="Times New Roman"/>
                <w:b w:val="1"/>
                <w:bCs w:val="1"/>
                <w:i w:val="1"/>
                <w:iCs w:val="1"/>
                <w:sz w:val="16"/>
                <w:szCs w:val="16"/>
              </w:rPr>
            </w:pPr>
            <w:r w:rsidDel="00000000" w:rsidR="00000000" w:rsidRPr="00000000">
              <w:rPr>
                <w:rtl w:val="0"/>
              </w:rPr>
            </w:r>
          </w:p>
        </w:tc>
      </w:tr>
      <w:tr>
        <w:trPr>
          <w:cantSplit w:val="0"/>
          <w:trHeight w:val="73" w:hRule="atLeast"/>
          <w:tblHeader w:val="0"/>
        </w:trPr>
        <w:tc>
          <w:tcPr>
            <w:gridSpan w:val="6"/>
            <w:vAlign w:val="center"/>
          </w:tcPr>
          <w:p w:rsidR="00000000" w:rsidDel="00000000" w:rsidP="00000000" w:rsidRDefault="00000000" w:rsidRPr="00000000" w14:paraId="00000259">
            <w:pPr>
              <w:jc w:val="center"/>
              <w:rPr>
                <w:rFonts w:ascii="Times New Roman" w:cs="Times New Roman" w:eastAsia="Times New Roman" w:hAnsi="Times New Roman"/>
                <w:sz w:val="16"/>
                <w:szCs w:val="16"/>
              </w:rPr>
            </w:pPr>
            <w:r w:rsidDel="00000000" w:rsidR="00000000" w:rsidRPr="00000000">
              <w:rPr>
                <w:rFonts w:ascii="Times New Roman" w:cs="Times New Roman" w:eastAsia="Times New Roman" w:hAnsi="Times New Roman"/>
                <w:sz w:val="16"/>
                <w:szCs w:val="16"/>
                <w:rtl w:val="0"/>
              </w:rPr>
              <w:t xml:space="preserve">Periodicidad de medición del indicador</w:t>
            </w:r>
          </w:p>
        </w:tc>
        <w:tc>
          <w:tcPr>
            <w:gridSpan w:val="17"/>
            <w:vAlign w:val="center"/>
          </w:tcPr>
          <w:p w:rsidR="00000000" w:rsidDel="00000000" w:rsidP="00000000" w:rsidRDefault="00000000" w:rsidRPr="00000000" w14:paraId="0000025F">
            <w:pPr>
              <w:jc w:val="center"/>
              <w:rPr>
                <w:rFonts w:ascii="Times New Roman" w:cs="Times New Roman" w:eastAsia="Times New Roman" w:hAnsi="Times New Roman"/>
                <w:sz w:val="16"/>
                <w:szCs w:val="16"/>
              </w:rPr>
            </w:pPr>
            <w:r w:rsidDel="00000000" w:rsidR="00000000" w:rsidRPr="00000000">
              <w:rPr>
                <w:rFonts w:ascii="Times New Roman" w:cs="Times New Roman" w:eastAsia="Times New Roman" w:hAnsi="Times New Roman"/>
                <w:sz w:val="16"/>
                <w:szCs w:val="16"/>
                <w:rtl w:val="0"/>
              </w:rPr>
              <w:t xml:space="preserve">Semestral</w:t>
            </w:r>
          </w:p>
        </w:tc>
      </w:tr>
      <w:tr>
        <w:trPr>
          <w:cantSplit w:val="0"/>
          <w:trHeight w:val="73" w:hRule="atLeast"/>
          <w:tblHeader w:val="0"/>
        </w:trPr>
        <w:tc>
          <w:tcPr>
            <w:gridSpan w:val="7"/>
            <w:vAlign w:val="center"/>
          </w:tcPr>
          <w:p w:rsidR="00000000" w:rsidDel="00000000" w:rsidP="00000000" w:rsidRDefault="00000000" w:rsidRPr="00000000" w14:paraId="00000270">
            <w:pPr>
              <w:jc w:val="center"/>
              <w:rPr>
                <w:rFonts w:ascii="Times New Roman" w:cs="Times New Roman" w:eastAsia="Times New Roman" w:hAnsi="Times New Roman"/>
                <w:sz w:val="16"/>
                <w:szCs w:val="16"/>
              </w:rPr>
            </w:pPr>
            <w:r w:rsidDel="00000000" w:rsidR="00000000" w:rsidRPr="00000000">
              <w:rPr>
                <w:rFonts w:ascii="Times New Roman" w:cs="Times New Roman" w:eastAsia="Times New Roman" w:hAnsi="Times New Roman"/>
                <w:sz w:val="16"/>
                <w:szCs w:val="16"/>
                <w:rtl w:val="0"/>
              </w:rPr>
              <w:t xml:space="preserve">Enfoque del producto</w:t>
            </w:r>
          </w:p>
        </w:tc>
        <w:tc>
          <w:tcPr>
            <w:gridSpan w:val="16"/>
            <w:vAlign w:val="center"/>
          </w:tcPr>
          <w:p w:rsidR="00000000" w:rsidDel="00000000" w:rsidP="00000000" w:rsidRDefault="00000000" w:rsidRPr="00000000" w14:paraId="00000277">
            <w:pPr>
              <w:jc w:val="center"/>
              <w:rPr>
                <w:rFonts w:ascii="Times New Roman" w:cs="Times New Roman" w:eastAsia="Times New Roman" w:hAnsi="Times New Roman"/>
                <w:b w:val="1"/>
                <w:bCs w:val="1"/>
                <w:sz w:val="16"/>
                <w:szCs w:val="16"/>
              </w:rPr>
            </w:pPr>
            <w:r w:rsidDel="00000000" w:rsidR="00000000" w:rsidRPr="00000000">
              <w:rPr>
                <w:rFonts w:ascii="Times New Roman" w:cs="Times New Roman" w:eastAsia="Times New Roman" w:hAnsi="Times New Roman"/>
                <w:sz w:val="16"/>
                <w:szCs w:val="16"/>
                <w:rtl w:val="0"/>
              </w:rPr>
              <w:t xml:space="preserve">Derechos Humanos; Diferencial; Territorial</w:t>
            </w:r>
            <w:r w:rsidDel="00000000" w:rsidR="00000000" w:rsidRPr="00000000">
              <w:rPr>
                <w:rtl w:val="0"/>
              </w:rPr>
            </w:r>
          </w:p>
        </w:tc>
      </w:tr>
      <w:tr>
        <w:trPr>
          <w:cantSplit w:val="0"/>
          <w:trHeight w:val="73" w:hRule="atLeast"/>
          <w:tblHeader w:val="0"/>
        </w:trPr>
        <w:tc>
          <w:tcPr>
            <w:gridSpan w:val="7"/>
            <w:vAlign w:val="center"/>
          </w:tcPr>
          <w:p w:rsidR="00000000" w:rsidDel="00000000" w:rsidP="00000000" w:rsidRDefault="00000000" w:rsidRPr="00000000" w14:paraId="00000287">
            <w:pPr>
              <w:jc w:val="center"/>
              <w:rPr>
                <w:rFonts w:ascii="Times New Roman" w:cs="Times New Roman" w:eastAsia="Times New Roman" w:hAnsi="Times New Roman"/>
                <w:sz w:val="16"/>
                <w:szCs w:val="16"/>
              </w:rPr>
            </w:pPr>
            <w:r w:rsidDel="00000000" w:rsidR="00000000" w:rsidRPr="00000000">
              <w:rPr>
                <w:rFonts w:ascii="Times New Roman" w:cs="Times New Roman" w:eastAsia="Times New Roman" w:hAnsi="Times New Roman"/>
                <w:sz w:val="16"/>
                <w:szCs w:val="16"/>
                <w:rtl w:val="0"/>
              </w:rPr>
              <w:t xml:space="preserve">Objetivo de desarrollo sostenible -ODS-</w:t>
            </w:r>
          </w:p>
        </w:tc>
        <w:tc>
          <w:tcPr>
            <w:gridSpan w:val="8"/>
            <w:vAlign w:val="center"/>
          </w:tcPr>
          <w:p w:rsidR="00000000" w:rsidDel="00000000" w:rsidP="00000000" w:rsidRDefault="00000000" w:rsidRPr="00000000" w14:paraId="0000028E">
            <w:pPr>
              <w:jc w:val="center"/>
              <w:rPr>
                <w:rFonts w:ascii="Times New Roman" w:cs="Times New Roman" w:eastAsia="Times New Roman" w:hAnsi="Times New Roman"/>
                <w:b w:val="1"/>
                <w:bCs w:val="1"/>
                <w:sz w:val="16"/>
                <w:szCs w:val="16"/>
              </w:rPr>
            </w:pPr>
            <w:r w:rsidDel="00000000" w:rsidR="00000000" w:rsidRPr="00000000">
              <w:rPr>
                <w:rFonts w:ascii="Times New Roman" w:cs="Times New Roman" w:eastAsia="Times New Roman" w:hAnsi="Times New Roman"/>
                <w:sz w:val="16"/>
                <w:szCs w:val="16"/>
                <w:rtl w:val="0"/>
              </w:rPr>
              <w:t xml:space="preserve">Trabajo decente y crecimiento económico</w:t>
            </w:r>
            <w:r w:rsidDel="00000000" w:rsidR="00000000" w:rsidRPr="00000000">
              <w:rPr>
                <w:rtl w:val="0"/>
              </w:rPr>
            </w:r>
          </w:p>
        </w:tc>
        <w:tc>
          <w:tcPr>
            <w:gridSpan w:val="7"/>
            <w:vAlign w:val="center"/>
          </w:tcPr>
          <w:p w:rsidR="00000000" w:rsidDel="00000000" w:rsidP="00000000" w:rsidRDefault="00000000" w:rsidRPr="00000000" w14:paraId="00000296">
            <w:pPr>
              <w:jc w:val="center"/>
              <w:rPr>
                <w:rFonts w:ascii="Times New Roman" w:cs="Times New Roman" w:eastAsia="Times New Roman" w:hAnsi="Times New Roman"/>
                <w:sz w:val="16"/>
                <w:szCs w:val="16"/>
              </w:rPr>
            </w:pPr>
            <w:r w:rsidDel="00000000" w:rsidR="00000000" w:rsidRPr="00000000">
              <w:rPr>
                <w:rFonts w:ascii="Times New Roman" w:cs="Times New Roman" w:eastAsia="Times New Roman" w:hAnsi="Times New Roman"/>
                <w:sz w:val="16"/>
                <w:szCs w:val="16"/>
                <w:rtl w:val="0"/>
              </w:rPr>
              <w:t xml:space="preserve">Código ODS</w:t>
            </w:r>
          </w:p>
        </w:tc>
        <w:tc>
          <w:tcPr>
            <w:vAlign w:val="center"/>
          </w:tcPr>
          <w:p w:rsidR="00000000" w:rsidDel="00000000" w:rsidP="00000000" w:rsidRDefault="00000000" w:rsidRPr="00000000" w14:paraId="0000029D">
            <w:pPr>
              <w:jc w:val="center"/>
              <w:rPr>
                <w:rFonts w:ascii="Times New Roman" w:cs="Times New Roman" w:eastAsia="Times New Roman" w:hAnsi="Times New Roman"/>
                <w:b w:val="1"/>
                <w:bCs w:val="1"/>
                <w:sz w:val="16"/>
                <w:szCs w:val="16"/>
              </w:rPr>
            </w:pPr>
            <w:r w:rsidDel="00000000" w:rsidR="00000000" w:rsidRPr="00000000">
              <w:rPr>
                <w:rFonts w:ascii="Times New Roman" w:cs="Times New Roman" w:eastAsia="Times New Roman" w:hAnsi="Times New Roman"/>
                <w:sz w:val="16"/>
                <w:szCs w:val="16"/>
                <w:rtl w:val="0"/>
              </w:rPr>
              <w:t xml:space="preserve">8</w:t>
            </w:r>
            <w:r w:rsidDel="00000000" w:rsidR="00000000" w:rsidRPr="00000000">
              <w:rPr>
                <w:rtl w:val="0"/>
              </w:rPr>
            </w:r>
          </w:p>
        </w:tc>
      </w:tr>
      <w:tr>
        <w:trPr>
          <w:cantSplit w:val="0"/>
          <w:trHeight w:val="73" w:hRule="atLeast"/>
          <w:tblHeader w:val="0"/>
        </w:trPr>
        <w:tc>
          <w:tcPr>
            <w:gridSpan w:val="23"/>
            <w:vAlign w:val="center"/>
          </w:tcPr>
          <w:p w:rsidR="00000000" w:rsidDel="00000000" w:rsidP="00000000" w:rsidRDefault="00000000" w:rsidRPr="00000000" w14:paraId="0000029E">
            <w:pPr>
              <w:jc w:val="center"/>
              <w:rPr>
                <w:rFonts w:ascii="Times New Roman" w:cs="Times New Roman" w:eastAsia="Times New Roman" w:hAnsi="Times New Roman"/>
                <w:b w:val="1"/>
                <w:bCs w:val="1"/>
                <w:sz w:val="16"/>
                <w:szCs w:val="16"/>
              </w:rPr>
            </w:pPr>
            <w:r w:rsidDel="00000000" w:rsidR="00000000" w:rsidRPr="00000000">
              <w:rPr>
                <w:rFonts w:ascii="Times New Roman" w:cs="Times New Roman" w:eastAsia="Times New Roman" w:hAnsi="Times New Roman"/>
                <w:b w:val="1"/>
                <w:bCs w:val="1"/>
                <w:sz w:val="16"/>
                <w:szCs w:val="16"/>
                <w:rtl w:val="0"/>
              </w:rPr>
              <w:t xml:space="preserve">RESPONSABLE DEL PRODUCTO </w:t>
            </w:r>
          </w:p>
        </w:tc>
      </w:tr>
      <w:tr>
        <w:trPr>
          <w:cantSplit w:val="0"/>
          <w:trHeight w:val="230" w:hRule="atLeast"/>
          <w:tblHeader w:val="0"/>
        </w:trPr>
        <w:tc>
          <w:tcPr>
            <w:gridSpan w:val="5"/>
            <w:vAlign w:val="center"/>
          </w:tcPr>
          <w:p w:rsidR="00000000" w:rsidDel="00000000" w:rsidP="00000000" w:rsidRDefault="00000000" w:rsidRPr="00000000" w14:paraId="000002B5">
            <w:pPr>
              <w:jc w:val="center"/>
              <w:rPr>
                <w:rFonts w:ascii="Times New Roman" w:cs="Times New Roman" w:eastAsia="Times New Roman" w:hAnsi="Times New Roman"/>
                <w:sz w:val="16"/>
                <w:szCs w:val="16"/>
              </w:rPr>
            </w:pPr>
            <w:r w:rsidDel="00000000" w:rsidR="00000000" w:rsidRPr="00000000">
              <w:rPr>
                <w:rFonts w:ascii="Times New Roman" w:cs="Times New Roman" w:eastAsia="Times New Roman" w:hAnsi="Times New Roman"/>
                <w:sz w:val="16"/>
                <w:szCs w:val="16"/>
                <w:rtl w:val="0"/>
              </w:rPr>
              <w:t xml:space="preserve">Nombre del funcionario responsable del indicador</w:t>
            </w:r>
          </w:p>
        </w:tc>
        <w:tc>
          <w:tcPr>
            <w:gridSpan w:val="3"/>
            <w:vAlign w:val="center"/>
          </w:tcPr>
          <w:p w:rsidR="00000000" w:rsidDel="00000000" w:rsidP="00000000" w:rsidRDefault="00000000" w:rsidRPr="00000000" w14:paraId="000002BA">
            <w:pPr>
              <w:jc w:val="center"/>
              <w:rPr>
                <w:rFonts w:ascii="Times New Roman" w:cs="Times New Roman" w:eastAsia="Times New Roman" w:hAnsi="Times New Roman"/>
                <w:sz w:val="16"/>
                <w:szCs w:val="16"/>
              </w:rPr>
            </w:pPr>
            <w:r w:rsidDel="00000000" w:rsidR="00000000" w:rsidRPr="00000000">
              <w:rPr>
                <w:rFonts w:ascii="Times New Roman" w:cs="Times New Roman" w:eastAsia="Times New Roman" w:hAnsi="Times New Roman"/>
                <w:sz w:val="16"/>
                <w:szCs w:val="16"/>
                <w:rtl w:val="0"/>
              </w:rPr>
              <w:t xml:space="preserve">Patricia del Carmen Diaz Castro</w:t>
            </w:r>
          </w:p>
        </w:tc>
        <w:tc>
          <w:tcPr>
            <w:gridSpan w:val="2"/>
            <w:vAlign w:val="center"/>
          </w:tcPr>
          <w:p w:rsidR="00000000" w:rsidDel="00000000" w:rsidP="00000000" w:rsidRDefault="00000000" w:rsidRPr="00000000" w14:paraId="000002BD">
            <w:pPr>
              <w:jc w:val="center"/>
              <w:rPr>
                <w:rFonts w:ascii="Times New Roman" w:cs="Times New Roman" w:eastAsia="Times New Roman" w:hAnsi="Times New Roman"/>
                <w:sz w:val="16"/>
                <w:szCs w:val="16"/>
              </w:rPr>
            </w:pPr>
            <w:r w:rsidDel="00000000" w:rsidR="00000000" w:rsidRPr="00000000">
              <w:rPr>
                <w:rFonts w:ascii="Times New Roman" w:cs="Times New Roman" w:eastAsia="Times New Roman" w:hAnsi="Times New Roman"/>
                <w:sz w:val="16"/>
                <w:szCs w:val="16"/>
                <w:rtl w:val="0"/>
              </w:rPr>
              <w:t xml:space="preserve">Dependencia </w:t>
            </w:r>
          </w:p>
        </w:tc>
        <w:tc>
          <w:tcPr>
            <w:gridSpan w:val="4"/>
            <w:vAlign w:val="center"/>
          </w:tcPr>
          <w:p w:rsidR="00000000" w:rsidDel="00000000" w:rsidP="00000000" w:rsidRDefault="00000000" w:rsidRPr="00000000" w14:paraId="000002BF">
            <w:pPr>
              <w:jc w:val="center"/>
              <w:rPr>
                <w:rFonts w:ascii="Times New Roman" w:cs="Times New Roman" w:eastAsia="Times New Roman" w:hAnsi="Times New Roman"/>
                <w:sz w:val="16"/>
                <w:szCs w:val="16"/>
              </w:rPr>
            </w:pPr>
            <w:r w:rsidDel="00000000" w:rsidR="00000000" w:rsidRPr="00000000">
              <w:rPr>
                <w:rFonts w:ascii="Times New Roman" w:cs="Times New Roman" w:eastAsia="Times New Roman" w:hAnsi="Times New Roman"/>
                <w:sz w:val="16"/>
                <w:szCs w:val="16"/>
                <w:rtl w:val="0"/>
              </w:rPr>
              <w:t xml:space="preserve">Coord Red de Bibliotecas </w:t>
            </w:r>
          </w:p>
        </w:tc>
        <w:tc>
          <w:tcPr>
            <w:gridSpan w:val="4"/>
            <w:vAlign w:val="center"/>
          </w:tcPr>
          <w:p w:rsidR="00000000" w:rsidDel="00000000" w:rsidP="00000000" w:rsidRDefault="00000000" w:rsidRPr="00000000" w14:paraId="000002C3">
            <w:pPr>
              <w:jc w:val="center"/>
              <w:rPr>
                <w:rFonts w:ascii="Times New Roman" w:cs="Times New Roman" w:eastAsia="Times New Roman" w:hAnsi="Times New Roman"/>
                <w:sz w:val="16"/>
                <w:szCs w:val="16"/>
              </w:rPr>
            </w:pPr>
            <w:r w:rsidDel="00000000" w:rsidR="00000000" w:rsidRPr="00000000">
              <w:rPr>
                <w:rFonts w:ascii="Times New Roman" w:cs="Times New Roman" w:eastAsia="Times New Roman" w:hAnsi="Times New Roman"/>
                <w:sz w:val="16"/>
                <w:szCs w:val="16"/>
                <w:rtl w:val="0"/>
              </w:rPr>
              <w:t xml:space="preserve">Correo electrónico </w:t>
            </w:r>
          </w:p>
        </w:tc>
        <w:tc>
          <w:tcPr>
            <w:gridSpan w:val="5"/>
            <w:vAlign w:val="center"/>
          </w:tcPr>
          <w:p w:rsidR="00000000" w:rsidDel="00000000" w:rsidP="00000000" w:rsidRDefault="00000000" w:rsidRPr="00000000" w14:paraId="000002C7">
            <w:pPr>
              <w:jc w:val="center"/>
              <w:rPr>
                <w:rFonts w:ascii="Times New Roman" w:cs="Times New Roman" w:eastAsia="Times New Roman" w:hAnsi="Times New Roman"/>
                <w:sz w:val="16"/>
                <w:szCs w:val="16"/>
              </w:rPr>
            </w:pPr>
            <w:r w:rsidDel="00000000" w:rsidR="00000000" w:rsidRPr="00000000">
              <w:rPr>
                <w:rFonts w:ascii="Times New Roman" w:cs="Times New Roman" w:eastAsia="Times New Roman" w:hAnsi="Times New Roman"/>
                <w:sz w:val="16"/>
                <w:szCs w:val="16"/>
                <w:rtl w:val="0"/>
              </w:rPr>
              <w:t xml:space="preserve">coord.bibliotecasyfiestas@ipcc.gov.co</w:t>
            </w:r>
          </w:p>
        </w:tc>
      </w:tr>
    </w:tbl>
    <w:p w:rsidR="00000000" w:rsidDel="00000000" w:rsidP="00000000" w:rsidRDefault="00000000" w:rsidRPr="00000000" w14:paraId="000002CC">
      <w:pPr>
        <w:rPr>
          <w:rFonts w:ascii="Times New Roman" w:cs="Times New Roman" w:eastAsia="Times New Roman" w:hAnsi="Times New Roman"/>
          <w:b w:val="1"/>
          <w:bCs w:val="1"/>
          <w:sz w:val="16"/>
          <w:szCs w:val="16"/>
        </w:rPr>
      </w:pPr>
      <w:r w:rsidDel="00000000" w:rsidR="00000000" w:rsidRPr="00000000">
        <w:rPr>
          <w:rtl w:val="0"/>
        </w:rPr>
      </w:r>
    </w:p>
    <w:tbl>
      <w:tblPr>
        <w:tblStyle w:val="Table3"/>
        <w:tblW w:w="11052.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269"/>
        <w:gridCol w:w="2412"/>
        <w:gridCol w:w="1118"/>
        <w:gridCol w:w="2366"/>
        <w:gridCol w:w="925"/>
        <w:gridCol w:w="2962"/>
        <w:tblGridChange w:id="0">
          <w:tblGrid>
            <w:gridCol w:w="1269"/>
            <w:gridCol w:w="2412"/>
            <w:gridCol w:w="1118"/>
            <w:gridCol w:w="2366"/>
            <w:gridCol w:w="925"/>
            <w:gridCol w:w="2962"/>
          </w:tblGrid>
        </w:tblGridChange>
      </w:tblGrid>
      <w:tr>
        <w:trPr>
          <w:cantSplit w:val="0"/>
          <w:tblHeader w:val="0"/>
        </w:trPr>
        <w:tc>
          <w:tcPr>
            <w:vAlign w:val="center"/>
          </w:tcPr>
          <w:p w:rsidR="00000000" w:rsidDel="00000000" w:rsidP="00000000" w:rsidRDefault="00000000" w:rsidRPr="00000000" w14:paraId="000002CD">
            <w:pPr>
              <w:rPr>
                <w:rFonts w:ascii="Times New Roman" w:cs="Times New Roman" w:eastAsia="Times New Roman" w:hAnsi="Times New Roman"/>
                <w:sz w:val="16"/>
                <w:szCs w:val="16"/>
              </w:rPr>
            </w:pPr>
            <w:r w:rsidDel="00000000" w:rsidR="00000000" w:rsidRPr="00000000">
              <w:rPr>
                <w:rFonts w:ascii="Times New Roman" w:cs="Times New Roman" w:eastAsia="Times New Roman" w:hAnsi="Times New Roman"/>
                <w:sz w:val="16"/>
                <w:szCs w:val="16"/>
                <w:rtl w:val="0"/>
              </w:rPr>
              <w:t xml:space="preserve">Viabilidad técnica </w:t>
            </w:r>
          </w:p>
          <w:p w:rsidR="00000000" w:rsidDel="00000000" w:rsidP="00000000" w:rsidRDefault="00000000" w:rsidRPr="00000000" w14:paraId="000002CE">
            <w:pPr>
              <w:rPr>
                <w:rFonts w:ascii="Times New Roman" w:cs="Times New Roman" w:eastAsia="Times New Roman" w:hAnsi="Times New Roman"/>
                <w:sz w:val="16"/>
                <w:szCs w:val="16"/>
              </w:rPr>
            </w:pPr>
            <w:r w:rsidDel="00000000" w:rsidR="00000000" w:rsidRPr="00000000">
              <w:rPr>
                <w:rFonts w:ascii="Times New Roman" w:cs="Times New Roman" w:eastAsia="Times New Roman" w:hAnsi="Times New Roman"/>
                <w:sz w:val="16"/>
                <w:szCs w:val="16"/>
                <w:rtl w:val="0"/>
              </w:rPr>
              <w:t xml:space="preserve">SDP</w:t>
            </w:r>
          </w:p>
        </w:tc>
        <w:tc>
          <w:tcPr>
            <w:vAlign w:val="center"/>
          </w:tcPr>
          <w:p w:rsidR="00000000" w:rsidDel="00000000" w:rsidP="00000000" w:rsidRDefault="00000000" w:rsidRPr="00000000" w14:paraId="000002CF">
            <w:pPr>
              <w:rPr>
                <w:rFonts w:ascii="Times New Roman" w:cs="Times New Roman" w:eastAsia="Times New Roman" w:hAnsi="Times New Roman"/>
                <w:sz w:val="16"/>
                <w:szCs w:val="16"/>
              </w:rPr>
            </w:pPr>
            <w:r w:rsidDel="00000000" w:rsidR="00000000" w:rsidRPr="00000000">
              <w:rPr>
                <w:rFonts w:ascii="Times New Roman" w:cs="Times New Roman" w:eastAsia="Times New Roman" w:hAnsi="Times New Roman"/>
                <w:i w:val="1"/>
                <w:iCs w:val="1"/>
                <w:color w:val="a5a5a5"/>
                <w:sz w:val="16"/>
                <w:szCs w:val="16"/>
                <w:rtl w:val="0"/>
              </w:rPr>
              <w:t xml:space="preserve">Visto bueno: Secretaría de Planeación Distrital</w:t>
            </w:r>
            <w:r w:rsidDel="00000000" w:rsidR="00000000" w:rsidRPr="00000000">
              <w:rPr>
                <w:rtl w:val="0"/>
              </w:rPr>
            </w:r>
          </w:p>
        </w:tc>
        <w:tc>
          <w:tcPr>
            <w:vAlign w:val="center"/>
          </w:tcPr>
          <w:p w:rsidR="00000000" w:rsidDel="00000000" w:rsidP="00000000" w:rsidRDefault="00000000" w:rsidRPr="00000000" w14:paraId="000002D0">
            <w:pPr>
              <w:rPr>
                <w:rFonts w:ascii="Times New Roman" w:cs="Times New Roman" w:eastAsia="Times New Roman" w:hAnsi="Times New Roman"/>
                <w:sz w:val="16"/>
                <w:szCs w:val="16"/>
              </w:rPr>
            </w:pPr>
            <w:r w:rsidDel="00000000" w:rsidR="00000000" w:rsidRPr="00000000">
              <w:rPr>
                <w:rFonts w:ascii="Times New Roman" w:cs="Times New Roman" w:eastAsia="Times New Roman" w:hAnsi="Times New Roman"/>
                <w:sz w:val="16"/>
                <w:szCs w:val="16"/>
                <w:rtl w:val="0"/>
              </w:rPr>
              <w:t xml:space="preserve">Aprobación Entidad coordinadora</w:t>
            </w:r>
          </w:p>
        </w:tc>
        <w:tc>
          <w:tcPr>
            <w:vAlign w:val="center"/>
          </w:tcPr>
          <w:p w:rsidR="00000000" w:rsidDel="00000000" w:rsidP="00000000" w:rsidRDefault="00000000" w:rsidRPr="00000000" w14:paraId="000002D1">
            <w:pPr>
              <w:rPr>
                <w:rFonts w:ascii="Times New Roman" w:cs="Times New Roman" w:eastAsia="Times New Roman" w:hAnsi="Times New Roman"/>
                <w:sz w:val="16"/>
                <w:szCs w:val="16"/>
              </w:rPr>
            </w:pPr>
            <w:r w:rsidDel="00000000" w:rsidR="00000000" w:rsidRPr="00000000">
              <w:rPr>
                <w:rFonts w:ascii="Times New Roman" w:cs="Times New Roman" w:eastAsia="Times New Roman" w:hAnsi="Times New Roman"/>
                <w:i w:val="1"/>
                <w:iCs w:val="1"/>
                <w:color w:val="a5a5a5"/>
                <w:sz w:val="16"/>
                <w:szCs w:val="16"/>
                <w:rtl w:val="0"/>
              </w:rPr>
              <w:t xml:space="preserve">Visto bueno: Entidad coordinadora de política</w:t>
            </w:r>
            <w:r w:rsidDel="00000000" w:rsidR="00000000" w:rsidRPr="00000000">
              <w:rPr>
                <w:rtl w:val="0"/>
              </w:rPr>
            </w:r>
          </w:p>
        </w:tc>
        <w:tc>
          <w:tcPr>
            <w:vAlign w:val="center"/>
          </w:tcPr>
          <w:p w:rsidR="00000000" w:rsidDel="00000000" w:rsidP="00000000" w:rsidRDefault="00000000" w:rsidRPr="00000000" w14:paraId="000002D2">
            <w:pPr>
              <w:rPr>
                <w:rFonts w:ascii="Times New Roman" w:cs="Times New Roman" w:eastAsia="Times New Roman" w:hAnsi="Times New Roman"/>
                <w:sz w:val="16"/>
                <w:szCs w:val="16"/>
              </w:rPr>
            </w:pPr>
            <w:r w:rsidDel="00000000" w:rsidR="00000000" w:rsidRPr="00000000">
              <w:rPr>
                <w:rFonts w:ascii="Times New Roman" w:cs="Times New Roman" w:eastAsia="Times New Roman" w:hAnsi="Times New Roman"/>
                <w:sz w:val="16"/>
                <w:szCs w:val="16"/>
                <w:rtl w:val="0"/>
              </w:rPr>
              <w:t xml:space="preserve">Viabilidad </w:t>
            </w:r>
          </w:p>
          <w:p w:rsidR="00000000" w:rsidDel="00000000" w:rsidP="00000000" w:rsidRDefault="00000000" w:rsidRPr="00000000" w14:paraId="000002D3">
            <w:pPr>
              <w:rPr>
                <w:rFonts w:ascii="Times New Roman" w:cs="Times New Roman" w:eastAsia="Times New Roman" w:hAnsi="Times New Roman"/>
                <w:sz w:val="16"/>
                <w:szCs w:val="16"/>
              </w:rPr>
            </w:pPr>
            <w:r w:rsidDel="00000000" w:rsidR="00000000" w:rsidRPr="00000000">
              <w:rPr>
                <w:rFonts w:ascii="Times New Roman" w:cs="Times New Roman" w:eastAsia="Times New Roman" w:hAnsi="Times New Roman"/>
                <w:sz w:val="16"/>
                <w:szCs w:val="16"/>
                <w:rtl w:val="0"/>
              </w:rPr>
              <w:t xml:space="preserve">Entidad responsable </w:t>
            </w:r>
          </w:p>
        </w:tc>
        <w:tc>
          <w:tcPr>
            <w:vAlign w:val="center"/>
          </w:tcPr>
          <w:p w:rsidR="00000000" w:rsidDel="00000000" w:rsidP="00000000" w:rsidRDefault="00000000" w:rsidRPr="00000000" w14:paraId="000002D4">
            <w:pPr>
              <w:rPr>
                <w:rFonts w:ascii="Times New Roman" w:cs="Times New Roman" w:eastAsia="Times New Roman" w:hAnsi="Times New Roman"/>
                <w:sz w:val="16"/>
                <w:szCs w:val="16"/>
              </w:rPr>
            </w:pPr>
            <w:r w:rsidDel="00000000" w:rsidR="00000000" w:rsidRPr="00000000">
              <w:rPr>
                <w:rFonts w:ascii="Times New Roman" w:cs="Times New Roman" w:eastAsia="Times New Roman" w:hAnsi="Times New Roman"/>
                <w:i w:val="1"/>
                <w:iCs w:val="1"/>
                <w:color w:val="a5a5a5"/>
                <w:sz w:val="16"/>
                <w:szCs w:val="16"/>
                <w:rtl w:val="0"/>
              </w:rPr>
              <w:t xml:space="preserve">Visto bueno: Entidad proyectada para la implementación</w:t>
            </w:r>
            <w:r w:rsidDel="00000000" w:rsidR="00000000" w:rsidRPr="00000000">
              <w:rPr>
                <w:rtl w:val="0"/>
              </w:rPr>
            </w:r>
          </w:p>
        </w:tc>
      </w:tr>
    </w:tbl>
    <w:p w:rsidR="00000000" w:rsidDel="00000000" w:rsidP="00000000" w:rsidRDefault="00000000" w:rsidRPr="00000000" w14:paraId="000002D5">
      <w:pPr>
        <w:rPr>
          <w:rFonts w:ascii="Times New Roman" w:cs="Times New Roman" w:eastAsia="Times New Roman" w:hAnsi="Times New Roman"/>
          <w:sz w:val="16"/>
          <w:szCs w:val="16"/>
        </w:rPr>
      </w:pPr>
      <w:r w:rsidDel="00000000" w:rsidR="00000000" w:rsidRPr="00000000">
        <w:rPr>
          <w:rtl w:val="0"/>
        </w:rPr>
      </w:r>
    </w:p>
    <w:sectPr>
      <w:headerReference r:id="rId8" w:type="default"/>
      <w:pgSz w:h="15840" w:w="12240" w:orient="portrait"/>
      <w:pgMar w:bottom="720" w:top="720" w:left="720" w:right="720"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Times New Roman"/>
  <w:font w:name="Arial"/>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2D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16"/>
        <w:szCs w:val="16"/>
      </w:rPr>
    </w:pPr>
    <w:r w:rsidDel="00000000" w:rsidR="00000000" w:rsidRPr="00000000">
      <w:rPr>
        <w:rtl w:val="0"/>
      </w:rPr>
    </w:r>
  </w:p>
  <w:tbl>
    <w:tblPr>
      <w:tblStyle w:val="Table4"/>
      <w:tblW w:w="1838.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271"/>
      <w:gridCol w:w="567"/>
      <w:tblGridChange w:id="0">
        <w:tblGrid>
          <w:gridCol w:w="1271"/>
          <w:gridCol w:w="567"/>
        </w:tblGrid>
      </w:tblGridChange>
    </w:tblGrid>
    <w:tr>
      <w:trPr>
        <w:cantSplit w:val="0"/>
        <w:tblHeader w:val="0"/>
      </w:trPr>
      <w:tc>
        <w:tcPr/>
        <w:p w:rsidR="00000000" w:rsidDel="00000000" w:rsidP="00000000" w:rsidRDefault="00000000" w:rsidRPr="00000000" w14:paraId="000002D7">
          <w:pPr>
            <w:pBdr>
              <w:top w:space="0" w:sz="0" w:val="nil"/>
              <w:left w:space="0" w:sz="0" w:val="nil"/>
              <w:bottom w:space="0" w:sz="0" w:val="nil"/>
              <w:right w:space="0" w:sz="0" w:val="nil"/>
              <w:between w:space="0" w:sz="0" w:val="nil"/>
            </w:pBdr>
            <w:tabs>
              <w:tab w:val="center" w:leader="none" w:pos="4419"/>
              <w:tab w:val="right" w:leader="none" w:pos="8838"/>
            </w:tabs>
            <w:rPr>
              <w:rFonts w:ascii="Arial" w:cs="Arial" w:eastAsia="Arial" w:hAnsi="Arial"/>
              <w:color w:val="000000"/>
              <w:sz w:val="15"/>
              <w:szCs w:val="15"/>
            </w:rPr>
          </w:pPr>
          <w:r w:rsidDel="00000000" w:rsidR="00000000" w:rsidRPr="00000000">
            <w:rPr>
              <w:rFonts w:ascii="Arial" w:cs="Arial" w:eastAsia="Arial" w:hAnsi="Arial"/>
              <w:color w:val="000000"/>
              <w:sz w:val="15"/>
              <w:szCs w:val="15"/>
              <w:rtl w:val="0"/>
            </w:rPr>
            <w:t xml:space="preserve">No. de Página</w:t>
          </w:r>
        </w:p>
      </w:tc>
      <w:tc>
        <w:tcPr/>
        <w:p w:rsidR="00000000" w:rsidDel="00000000" w:rsidP="00000000" w:rsidRDefault="00000000" w:rsidRPr="00000000" w14:paraId="000002D8">
          <w:pPr>
            <w:pBdr>
              <w:top w:space="0" w:sz="0" w:val="nil"/>
              <w:left w:space="0" w:sz="0" w:val="nil"/>
              <w:bottom w:space="0" w:sz="0" w:val="nil"/>
              <w:right w:space="0" w:sz="0" w:val="nil"/>
              <w:between w:space="0" w:sz="0" w:val="nil"/>
            </w:pBdr>
            <w:tabs>
              <w:tab w:val="center" w:leader="none" w:pos="4419"/>
              <w:tab w:val="right" w:leader="none" w:pos="8838"/>
            </w:tabs>
            <w:rPr>
              <w:rFonts w:ascii="Arial" w:cs="Arial" w:eastAsia="Arial" w:hAnsi="Arial"/>
              <w:color w:val="000000"/>
              <w:sz w:val="18"/>
              <w:szCs w:val="18"/>
            </w:rPr>
          </w:pPr>
          <w:r w:rsidDel="00000000" w:rsidR="00000000" w:rsidRPr="00000000">
            <w:rPr>
              <w:rtl w:val="0"/>
            </w:rPr>
          </w:r>
        </w:p>
      </w:tc>
    </w:tr>
  </w:tbl>
  <w:p w:rsidR="00000000" w:rsidDel="00000000" w:rsidP="00000000" w:rsidRDefault="00000000" w:rsidRPr="00000000" w14:paraId="000002D9">
    <w:pPr>
      <w:pBdr>
        <w:top w:space="0" w:sz="0" w:val="nil"/>
        <w:left w:space="0" w:sz="0" w:val="nil"/>
        <w:bottom w:space="0" w:sz="0" w:val="nil"/>
        <w:right w:space="0" w:sz="0" w:val="nil"/>
        <w:between w:space="0" w:sz="0" w:val="nil"/>
      </w:pBdr>
      <w:tabs>
        <w:tab w:val="center" w:leader="none" w:pos="4419"/>
        <w:tab w:val="right" w:leader="none" w:pos="8838"/>
      </w:tabs>
      <w:rPr>
        <w:color w:val="000000"/>
        <w:sz w:val="2"/>
        <w:szCs w:val="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4"/>
        <w:szCs w:val="24"/>
        <w:lang w:val="es-CO"/>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120" w:before="480" w:lineRule="auto"/>
    </w:pPr>
    <w:rPr>
      <w:b w:val="1"/>
      <w:bCs w:val="1"/>
      <w:sz w:val="48"/>
      <w:szCs w:val="48"/>
    </w:rPr>
  </w:style>
  <w:style w:type="paragraph" w:styleId="Heading2">
    <w:name w:val="heading 2"/>
    <w:basedOn w:val="Normal"/>
    <w:next w:val="Normal"/>
    <w:pPr>
      <w:keepNext w:val="1"/>
      <w:keepLines w:val="1"/>
      <w:spacing w:before="40" w:lineRule="auto"/>
    </w:pPr>
    <w:rPr>
      <w:color w:val="2f5496"/>
      <w:sz w:val="26"/>
      <w:szCs w:val="26"/>
    </w:rPr>
  </w:style>
  <w:style w:type="paragraph" w:styleId="Heading3">
    <w:name w:val="heading 3"/>
    <w:basedOn w:val="Normal"/>
    <w:next w:val="Normal"/>
    <w:pPr>
      <w:keepNext w:val="1"/>
      <w:keepLines w:val="1"/>
      <w:spacing w:after="80" w:before="280" w:lineRule="auto"/>
    </w:pPr>
    <w:rPr>
      <w:b w:val="1"/>
      <w:bCs w:val="1"/>
      <w:sz w:val="28"/>
      <w:szCs w:val="28"/>
    </w:rPr>
  </w:style>
  <w:style w:type="paragraph" w:styleId="Heading4">
    <w:name w:val="heading 4"/>
    <w:basedOn w:val="Normal"/>
    <w:next w:val="Normal"/>
    <w:pPr>
      <w:keepNext w:val="1"/>
      <w:keepLines w:val="1"/>
      <w:spacing w:after="40" w:before="240" w:lineRule="auto"/>
    </w:pPr>
    <w:rPr>
      <w:b w:val="1"/>
      <w:bCs w:val="1"/>
    </w:rPr>
  </w:style>
  <w:style w:type="paragraph" w:styleId="Heading5">
    <w:name w:val="heading 5"/>
    <w:basedOn w:val="Normal"/>
    <w:next w:val="Normal"/>
    <w:pPr>
      <w:keepNext w:val="1"/>
      <w:keepLines w:val="1"/>
      <w:spacing w:after="40" w:before="220" w:lineRule="auto"/>
    </w:pPr>
    <w:rPr>
      <w:b w:val="1"/>
      <w:bCs w:val="1"/>
      <w:sz w:val="22"/>
      <w:szCs w:val="22"/>
    </w:rPr>
  </w:style>
  <w:style w:type="paragraph" w:styleId="Heading6">
    <w:name w:val="heading 6"/>
    <w:basedOn w:val="Normal"/>
    <w:next w:val="Normal"/>
    <w:pPr>
      <w:keepNext w:val="1"/>
      <w:keepLines w:val="1"/>
      <w:spacing w:after="40" w:before="200" w:lineRule="auto"/>
    </w:pPr>
    <w:rPr>
      <w:b w:val="1"/>
      <w:bCs w:val="1"/>
      <w:sz w:val="20"/>
      <w:szCs w:val="20"/>
    </w:rPr>
  </w:style>
  <w:style w:type="paragraph" w:styleId="Title">
    <w:name w:val="Title"/>
    <w:basedOn w:val="Normal"/>
    <w:next w:val="Normal"/>
    <w:pPr>
      <w:keepNext w:val="1"/>
      <w:keepLines w:val="1"/>
      <w:spacing w:after="120" w:before="480" w:lineRule="auto"/>
    </w:pPr>
    <w:rPr>
      <w:b w:val="1"/>
      <w:bCs w:val="1"/>
      <w:sz w:val="72"/>
      <w:szCs w:val="72"/>
    </w:rPr>
  </w:style>
  <w:style w:type="character" w:styleId="Fuentedeprrafopredeter" w:default="1">
    <w:name w:val="Default Paragraph Font"/>
    <w:uiPriority w:val="1"/>
    <w:semiHidden w:val="1"/>
    <w:unhideWhenUsed w:val="1"/>
  </w:style>
  <w:style w:type="table" w:styleId="Tabla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Sinlista" w:default="1">
    <w:name w:val="No List"/>
    <w:uiPriority w:val="99"/>
    <w:semiHidden w:val="1"/>
    <w:unhideWhenUsed w:val="1"/>
  </w:style>
  <w:style w:type="table" w:styleId="TableNormal" w:customStyle="1">
    <w:name w:val="Table Normal"/>
    <w:tblPr>
      <w:tblCellMar>
        <w:top w:w="0.0" w:type="dxa"/>
        <w:left w:w="0.0" w:type="dxa"/>
        <w:bottom w:w="0.0" w:type="dxa"/>
        <w:right w:w="0.0" w:type="dxa"/>
      </w:tblCellMar>
    </w:tblPr>
  </w:style>
  <w:style w:type="table" w:styleId="a" w:customStyle="1">
    <w:basedOn w:val="TableNormal"/>
    <w:tblPr>
      <w:tblStyleRowBandSize w:val="1"/>
      <w:tblStyleColBandSize w:val="1"/>
      <w:tblCellMar>
        <w:left w:w="108.0" w:type="dxa"/>
        <w:right w:w="108.0" w:type="dxa"/>
      </w:tblCellMar>
    </w:tblPr>
  </w:style>
  <w:style w:type="table" w:styleId="a0" w:customStyle="1">
    <w:basedOn w:val="TableNormal"/>
    <w:tblPr>
      <w:tblStyleRowBandSize w:val="1"/>
      <w:tblStyleColBandSize w:val="1"/>
      <w:tblCellMar>
        <w:left w:w="70.0" w:type="dxa"/>
        <w:right w:w="70.0" w:type="dxa"/>
      </w:tblCellMar>
    </w:tblPr>
  </w:style>
  <w:style w:type="table" w:styleId="a1" w:customStyle="1">
    <w:basedOn w:val="TableNormal"/>
    <w:tblPr>
      <w:tblStyleRowBandSize w:val="1"/>
      <w:tblStyleColBandSize w:val="1"/>
      <w:tblCellMar>
        <w:left w:w="108.0" w:type="dxa"/>
        <w:right w:w="108.0" w:type="dxa"/>
      </w:tblCellMar>
    </w:tblPr>
  </w:style>
  <w:style w:type="table" w:styleId="a2" w:customStyle="1">
    <w:basedOn w:val="TableNormal"/>
    <w:tblPr>
      <w:tblStyleRowBandSize w:val="1"/>
      <w:tblStyleColBandSize w:val="1"/>
      <w:tblCellMar>
        <w:left w:w="108.0" w:type="dxa"/>
        <w:right w:w="108.0" w:type="dxa"/>
      </w:tblCellMar>
    </w:tblPr>
  </w:style>
  <w:style w:type="paragraph" w:styleId="Encabezado">
    <w:name w:val="header"/>
    <w:basedOn w:val="Normal"/>
    <w:link w:val="EncabezadoCar"/>
    <w:uiPriority w:val="99"/>
    <w:unhideWhenUsed w:val="1"/>
    <w:rsid w:val="00274D78"/>
    <w:pPr>
      <w:tabs>
        <w:tab w:val="center" w:pos="4419"/>
        <w:tab w:val="right" w:pos="8838"/>
      </w:tabs>
    </w:pPr>
  </w:style>
  <w:style w:type="character" w:styleId="EncabezadoCar" w:customStyle="1">
    <w:name w:val="Encabezado Car"/>
    <w:basedOn w:val="Fuentedeprrafopredeter"/>
    <w:link w:val="Encabezado"/>
    <w:uiPriority w:val="99"/>
    <w:rsid w:val="00274D78"/>
  </w:style>
  <w:style w:type="paragraph" w:styleId="Piedepgina">
    <w:name w:val="footer"/>
    <w:basedOn w:val="Normal"/>
    <w:link w:val="PiedepginaCar"/>
    <w:uiPriority w:val="99"/>
    <w:unhideWhenUsed w:val="1"/>
    <w:rsid w:val="00274D78"/>
    <w:pPr>
      <w:tabs>
        <w:tab w:val="center" w:pos="4419"/>
        <w:tab w:val="right" w:pos="8838"/>
      </w:tabs>
    </w:pPr>
  </w:style>
  <w:style w:type="character" w:styleId="PiedepginaCar" w:customStyle="1">
    <w:name w:val="Pie de página Car"/>
    <w:basedOn w:val="Fuentedeprrafopredeter"/>
    <w:link w:val="Piedepgina"/>
    <w:uiPriority w:val="99"/>
    <w:rsid w:val="00274D78"/>
  </w:style>
  <w:style w:type="character" w:styleId="Refdecomentario">
    <w:name w:val="annotation reference"/>
    <w:basedOn w:val="Fuentedeprrafopredeter"/>
    <w:uiPriority w:val="99"/>
    <w:semiHidden w:val="1"/>
    <w:unhideWhenUsed w:val="1"/>
    <w:rsid w:val="00952A73"/>
    <w:rPr>
      <w:sz w:val="16"/>
      <w:szCs w:val="16"/>
    </w:rPr>
  </w:style>
  <w:style w:type="paragraph" w:styleId="Textocomentario">
    <w:name w:val="annotation text"/>
    <w:basedOn w:val="Normal"/>
    <w:link w:val="TextocomentarioCar"/>
    <w:uiPriority w:val="99"/>
    <w:semiHidden w:val="1"/>
    <w:unhideWhenUsed w:val="1"/>
    <w:rsid w:val="00952A73"/>
    <w:rPr>
      <w:sz w:val="20"/>
      <w:szCs w:val="20"/>
    </w:rPr>
  </w:style>
  <w:style w:type="character" w:styleId="TextocomentarioCar" w:customStyle="1">
    <w:name w:val="Texto comentario Car"/>
    <w:basedOn w:val="Fuentedeprrafopredeter"/>
    <w:link w:val="Textocomentario"/>
    <w:uiPriority w:val="99"/>
    <w:semiHidden w:val="1"/>
    <w:rsid w:val="00952A73"/>
    <w:rPr>
      <w:sz w:val="20"/>
      <w:szCs w:val="20"/>
    </w:rPr>
  </w:style>
  <w:style w:type="paragraph" w:styleId="Asuntodelcomentario">
    <w:name w:val="annotation subject"/>
    <w:basedOn w:val="Textocomentario"/>
    <w:next w:val="Textocomentario"/>
    <w:link w:val="AsuntodelcomentarioCar"/>
    <w:uiPriority w:val="99"/>
    <w:semiHidden w:val="1"/>
    <w:unhideWhenUsed w:val="1"/>
    <w:rsid w:val="00952A73"/>
    <w:rPr>
      <w:b w:val="1"/>
      <w:bCs w:val="1"/>
    </w:rPr>
  </w:style>
  <w:style w:type="character" w:styleId="AsuntodelcomentarioCar" w:customStyle="1">
    <w:name w:val="Asunto del comentario Car"/>
    <w:basedOn w:val="TextocomentarioCar"/>
    <w:link w:val="Asuntodelcomentario"/>
    <w:uiPriority w:val="99"/>
    <w:semiHidden w:val="1"/>
    <w:rsid w:val="00952A73"/>
    <w:rPr>
      <w:b w:val="1"/>
      <w:bCs w:val="1"/>
      <w:sz w:val="20"/>
      <w:szCs w:val="20"/>
    </w:rPr>
  </w:style>
  <w:style w:type="paragraph" w:styleId="Subtitle">
    <w:name w:val="Subtitle"/>
    <w:basedOn w:val="Normal"/>
    <w:next w:val="Normal"/>
    <w:pPr>
      <w:keepNext w:val="1"/>
      <w:keepLines w:val="1"/>
      <w:spacing w:after="80" w:before="360" w:lineRule="auto"/>
    </w:pPr>
    <w:rPr>
      <w:rFonts w:ascii="Georgia" w:cs="Georgia" w:eastAsia="Georgia" w:hAnsi="Georgia"/>
      <w:i w:val="1"/>
      <w:iCs w:val="1"/>
      <w:color w:val="666666"/>
      <w:sz w:val="48"/>
      <w:szCs w:val="48"/>
    </w:rPr>
  </w:style>
  <w:style w:type="table" w:styleId="Table1">
    <w:basedOn w:val="TableNormal"/>
    <w:tblPr>
      <w:tblStyleRowBandSize w:val="1"/>
      <w:tblStyleColBandSize w:val="1"/>
      <w:tblCellMar>
        <w:top w:w="0.0" w:type="dxa"/>
        <w:left w:w="108.0" w:type="dxa"/>
        <w:bottom w:w="0.0" w:type="dxa"/>
        <w:right w:w="108.0" w:type="dxa"/>
      </w:tblCellMar>
    </w:tblPr>
  </w:style>
  <w:style w:type="table" w:styleId="Table2">
    <w:basedOn w:val="TableNormal"/>
    <w:tblPr>
      <w:tblStyleRowBandSize w:val="1"/>
      <w:tblStyleColBandSize w:val="1"/>
      <w:tblCellMar>
        <w:top w:w="0.0" w:type="dxa"/>
        <w:left w:w="70.0" w:type="dxa"/>
        <w:bottom w:w="0.0" w:type="dxa"/>
        <w:right w:w="70.0" w:type="dxa"/>
      </w:tblCellMar>
    </w:tblPr>
  </w:style>
  <w:style w:type="table" w:styleId="Table3">
    <w:basedOn w:val="TableNormal"/>
    <w:tblPr>
      <w:tblStyleRowBandSize w:val="1"/>
      <w:tblStyleColBandSize w:val="1"/>
      <w:tblCellMar>
        <w:top w:w="0.0" w:type="dxa"/>
        <w:left w:w="108.0" w:type="dxa"/>
        <w:bottom w:w="0.0" w:type="dxa"/>
        <w:right w:w="108.0" w:type="dxa"/>
      </w:tblCellMar>
    </w:tblPr>
  </w:style>
  <w:style w:type="table" w:styleId="Table4">
    <w:basedOn w:val="TableNormal"/>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1.png"/><Relationship Id="rId8"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6RW86bCyr+Uv8fcsgs4qjqG5f5Q==">CgMxLjA4AHIhMXBIMlNUTUFfSTc5QkhkVF9VQkpqY2p4UUt1X1o5cWw5</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2025-08-13T14:29:00Z</dcterms:created>
  <dc:creator>Fernando Montero Polo</dc:creator>
</cp:coreProperties>
</file>